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2B55" w14:textId="5A34E22A" w:rsidR="00952168" w:rsidRDefault="00A0788E" w:rsidP="00952168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Content for </w:t>
      </w:r>
      <w:proofErr w:type="gramStart"/>
      <w:r>
        <w:rPr>
          <w:rFonts w:cstheme="minorHAnsi"/>
          <w:b/>
          <w:sz w:val="22"/>
          <w:szCs w:val="22"/>
        </w:rPr>
        <w:t>o</w:t>
      </w:r>
      <w:r w:rsidR="00952168">
        <w:rPr>
          <w:rFonts w:cstheme="minorHAnsi"/>
          <w:b/>
          <w:sz w:val="22"/>
          <w:szCs w:val="22"/>
        </w:rPr>
        <w:t>ne</w:t>
      </w:r>
      <w:r>
        <w:rPr>
          <w:rFonts w:cstheme="minorHAnsi"/>
          <w:b/>
          <w:sz w:val="22"/>
          <w:szCs w:val="22"/>
        </w:rPr>
        <w:t xml:space="preserve"> page</w:t>
      </w:r>
      <w:proofErr w:type="gramEnd"/>
      <w:r w:rsidR="00952168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b</w:t>
      </w:r>
      <w:r w:rsidR="00952168">
        <w:rPr>
          <w:rFonts w:cstheme="minorHAnsi"/>
          <w:b/>
          <w:sz w:val="22"/>
          <w:szCs w:val="22"/>
        </w:rPr>
        <w:t xml:space="preserve">riefing </w:t>
      </w:r>
      <w:r>
        <w:rPr>
          <w:rFonts w:cstheme="minorHAnsi"/>
          <w:b/>
          <w:sz w:val="22"/>
          <w:szCs w:val="22"/>
        </w:rPr>
        <w:t>n</w:t>
      </w:r>
      <w:r w:rsidR="00952168">
        <w:rPr>
          <w:rFonts w:cstheme="minorHAnsi"/>
          <w:b/>
          <w:sz w:val="22"/>
          <w:szCs w:val="22"/>
        </w:rPr>
        <w:t xml:space="preserve">ote </w:t>
      </w:r>
    </w:p>
    <w:p w14:paraId="7C57B04C" w14:textId="77777777" w:rsidR="00952168" w:rsidRDefault="00952168" w:rsidP="00952168">
      <w:pPr>
        <w:rPr>
          <w:rFonts w:cstheme="minorHAnsi"/>
          <w:b/>
          <w:sz w:val="22"/>
          <w:szCs w:val="22"/>
        </w:rPr>
      </w:pPr>
    </w:p>
    <w:p w14:paraId="577434AD" w14:textId="2FCB05E9" w:rsidR="00AF4BD3" w:rsidRDefault="00952168" w:rsidP="00952168">
      <w:pPr>
        <w:rPr>
          <w:rFonts w:cstheme="minorHAnsi"/>
          <w:b/>
          <w:sz w:val="22"/>
          <w:szCs w:val="22"/>
        </w:rPr>
      </w:pPr>
      <w:r w:rsidRPr="00952168">
        <w:rPr>
          <w:rFonts w:cstheme="minorHAnsi"/>
          <w:b/>
          <w:sz w:val="22"/>
          <w:szCs w:val="22"/>
        </w:rPr>
        <w:t xml:space="preserve">The </w:t>
      </w:r>
      <w:proofErr w:type="gramStart"/>
      <w:r w:rsidRPr="00952168">
        <w:rPr>
          <w:rFonts w:cstheme="minorHAnsi"/>
          <w:b/>
          <w:sz w:val="22"/>
          <w:szCs w:val="22"/>
        </w:rPr>
        <w:t>South East</w:t>
      </w:r>
      <w:proofErr w:type="gramEnd"/>
      <w:r w:rsidRPr="00952168">
        <w:rPr>
          <w:rFonts w:cstheme="minorHAnsi"/>
          <w:b/>
          <w:sz w:val="22"/>
          <w:szCs w:val="22"/>
        </w:rPr>
        <w:t xml:space="preserve"> Region </w:t>
      </w:r>
      <w:r w:rsidRPr="00952168">
        <w:rPr>
          <w:rFonts w:cstheme="minorHAnsi"/>
          <w:b/>
          <w:bCs/>
          <w:sz w:val="22"/>
          <w:szCs w:val="22"/>
        </w:rPr>
        <w:t>Memorandum of Cooperation for Agency Children’s Social Workers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952168">
        <w:rPr>
          <w:rFonts w:cstheme="minorHAnsi"/>
          <w:b/>
          <w:sz w:val="22"/>
          <w:szCs w:val="22"/>
        </w:rPr>
        <w:t>2022</w:t>
      </w:r>
      <w:r>
        <w:rPr>
          <w:rFonts w:cstheme="minorHAnsi"/>
          <w:b/>
          <w:sz w:val="22"/>
          <w:szCs w:val="22"/>
        </w:rPr>
        <w:t xml:space="preserve"> (MoC) </w:t>
      </w:r>
    </w:p>
    <w:p w14:paraId="4674EFA0" w14:textId="0F199FA0" w:rsidR="00952168" w:rsidRDefault="00952168" w:rsidP="00952168">
      <w:pPr>
        <w:rPr>
          <w:rFonts w:cstheme="minorHAnsi"/>
          <w:b/>
          <w:sz w:val="22"/>
          <w:szCs w:val="22"/>
        </w:rPr>
      </w:pPr>
    </w:p>
    <w:p w14:paraId="650D7013" w14:textId="07518202" w:rsidR="00952168" w:rsidRDefault="00952168" w:rsidP="00952168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Introduction </w:t>
      </w:r>
    </w:p>
    <w:p w14:paraId="5CF5304F" w14:textId="454B3FA2" w:rsidR="00952168" w:rsidRDefault="00952168" w:rsidP="00952168">
      <w:pPr>
        <w:rPr>
          <w:rFonts w:cstheme="minorHAnsi"/>
          <w:b/>
          <w:sz w:val="22"/>
          <w:szCs w:val="22"/>
        </w:rPr>
      </w:pPr>
    </w:p>
    <w:p w14:paraId="3118146A" w14:textId="7C3DA27B" w:rsidR="004363F3" w:rsidRDefault="00952168" w:rsidP="00952168">
      <w:pPr>
        <w:rPr>
          <w:rFonts w:cstheme="minorHAnsi"/>
          <w:sz w:val="22"/>
          <w:szCs w:val="22"/>
        </w:rPr>
      </w:pPr>
      <w:r w:rsidRPr="00952168">
        <w:rPr>
          <w:rFonts w:cstheme="minorHAnsi"/>
          <w:sz w:val="22"/>
          <w:szCs w:val="22"/>
        </w:rPr>
        <w:t>&lt;</w:t>
      </w:r>
      <w:r w:rsidRPr="00952168">
        <w:rPr>
          <w:rFonts w:cstheme="minorHAnsi"/>
          <w:sz w:val="22"/>
          <w:szCs w:val="22"/>
          <w:highlight w:val="yellow"/>
        </w:rPr>
        <w:t>name of your council</w:t>
      </w:r>
      <w:r w:rsidRPr="00952168">
        <w:rPr>
          <w:rFonts w:cstheme="minorHAnsi"/>
          <w:sz w:val="22"/>
          <w:szCs w:val="22"/>
        </w:rPr>
        <w:t xml:space="preserve">&gt; have committed to support this regional initiative.  </w:t>
      </w:r>
      <w:r>
        <w:rPr>
          <w:rFonts w:cstheme="minorHAnsi"/>
          <w:sz w:val="22"/>
          <w:szCs w:val="22"/>
        </w:rPr>
        <w:t xml:space="preserve">The MoC is an agreement between the 19 authorities in </w:t>
      </w:r>
      <w:r w:rsidR="006B0A43">
        <w:rPr>
          <w:rFonts w:cstheme="minorHAnsi"/>
          <w:sz w:val="22"/>
          <w:szCs w:val="22"/>
        </w:rPr>
        <w:t>the South East</w:t>
      </w:r>
      <w:r>
        <w:rPr>
          <w:rFonts w:cstheme="minorHAnsi"/>
          <w:sz w:val="22"/>
          <w:szCs w:val="22"/>
        </w:rPr>
        <w:t xml:space="preserve"> to work in a cooperative and collaborative way. The MoC is designed to help control costs, reduce churn of both agency and permanent </w:t>
      </w:r>
      <w:r w:rsidR="004363F3">
        <w:rPr>
          <w:rFonts w:cstheme="minorHAnsi"/>
          <w:sz w:val="22"/>
          <w:szCs w:val="22"/>
        </w:rPr>
        <w:t xml:space="preserve">social </w:t>
      </w:r>
      <w:r>
        <w:rPr>
          <w:rFonts w:cstheme="minorHAnsi"/>
          <w:sz w:val="22"/>
          <w:szCs w:val="22"/>
        </w:rPr>
        <w:t>worker</w:t>
      </w:r>
      <w:r w:rsidR="004363F3">
        <w:rPr>
          <w:rFonts w:cstheme="minorHAnsi"/>
          <w:sz w:val="22"/>
          <w:szCs w:val="22"/>
        </w:rPr>
        <w:t xml:space="preserve">. It also aims to improve the quality of information sharing between authorities when providing references for agency social workers. </w:t>
      </w:r>
    </w:p>
    <w:p w14:paraId="75FEB4EF" w14:textId="77777777" w:rsidR="004363F3" w:rsidRDefault="004363F3" w:rsidP="00952168">
      <w:pPr>
        <w:rPr>
          <w:rFonts w:cstheme="minorHAnsi"/>
          <w:sz w:val="22"/>
          <w:szCs w:val="22"/>
        </w:rPr>
      </w:pPr>
    </w:p>
    <w:p w14:paraId="341826A4" w14:textId="4A8ECF3F" w:rsidR="006B0A43" w:rsidRDefault="004363F3" w:rsidP="00952168">
      <w:pPr>
        <w:rPr>
          <w:rFonts w:cstheme="minorHAnsi"/>
          <w:b/>
          <w:bCs/>
          <w:sz w:val="22"/>
          <w:szCs w:val="22"/>
        </w:rPr>
      </w:pPr>
      <w:r w:rsidRPr="004363F3">
        <w:rPr>
          <w:rFonts w:cstheme="minorHAnsi"/>
          <w:b/>
          <w:bCs/>
          <w:sz w:val="22"/>
          <w:szCs w:val="22"/>
        </w:rPr>
        <w:t>Wh</w:t>
      </w:r>
      <w:r w:rsidR="006B0A43">
        <w:rPr>
          <w:rFonts w:cstheme="minorHAnsi"/>
          <w:b/>
          <w:bCs/>
          <w:sz w:val="22"/>
          <w:szCs w:val="22"/>
        </w:rPr>
        <w:t xml:space="preserve">ich authorities are </w:t>
      </w:r>
      <w:r w:rsidRPr="004363F3">
        <w:rPr>
          <w:rFonts w:cstheme="minorHAnsi"/>
          <w:b/>
          <w:bCs/>
          <w:sz w:val="22"/>
          <w:szCs w:val="22"/>
        </w:rPr>
        <w:t xml:space="preserve">is in the agreement? </w:t>
      </w:r>
      <w:r w:rsidR="00952168" w:rsidRPr="004363F3">
        <w:rPr>
          <w:rFonts w:cstheme="minorHAns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B0A43" w14:paraId="422DE440" w14:textId="77777777" w:rsidTr="006B0A43">
        <w:tc>
          <w:tcPr>
            <w:tcW w:w="3485" w:type="dxa"/>
          </w:tcPr>
          <w:p w14:paraId="6B5336F8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 xml:space="preserve">Bracknell Forest </w:t>
            </w:r>
          </w:p>
          <w:p w14:paraId="7270B33D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Brighton and Hove</w:t>
            </w:r>
          </w:p>
          <w:p w14:paraId="689921C5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Bucks</w:t>
            </w:r>
          </w:p>
          <w:p w14:paraId="55B17116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East Sussex</w:t>
            </w:r>
          </w:p>
          <w:p w14:paraId="134C2FC3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 xml:space="preserve">Hampshire </w:t>
            </w:r>
          </w:p>
          <w:p w14:paraId="43B951DF" w14:textId="0F98B4C0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 xml:space="preserve">Isle of Wight </w:t>
            </w:r>
          </w:p>
        </w:tc>
        <w:tc>
          <w:tcPr>
            <w:tcW w:w="3485" w:type="dxa"/>
          </w:tcPr>
          <w:p w14:paraId="070AEF33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Kent</w:t>
            </w:r>
          </w:p>
          <w:p w14:paraId="49873C89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Medway</w:t>
            </w:r>
          </w:p>
          <w:p w14:paraId="642A38C5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Milton Keynes</w:t>
            </w:r>
          </w:p>
          <w:p w14:paraId="42D0D813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Oxford</w:t>
            </w:r>
          </w:p>
          <w:p w14:paraId="4EB574AD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 xml:space="preserve">Portsmouth </w:t>
            </w:r>
          </w:p>
          <w:p w14:paraId="3786A351" w14:textId="410958BE" w:rsidR="006B0A43" w:rsidRPr="006B0A43" w:rsidRDefault="006B0A43" w:rsidP="0095216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3486" w:type="dxa"/>
          </w:tcPr>
          <w:p w14:paraId="5F30EEB3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 xml:space="preserve">Slough </w:t>
            </w:r>
          </w:p>
          <w:p w14:paraId="7342342C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 xml:space="preserve">Southampton </w:t>
            </w:r>
          </w:p>
          <w:p w14:paraId="4DD87272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Surrey</w:t>
            </w:r>
          </w:p>
          <w:p w14:paraId="03AB6000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West Berks</w:t>
            </w:r>
          </w:p>
          <w:p w14:paraId="608E98A5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West Sussex</w:t>
            </w:r>
          </w:p>
          <w:p w14:paraId="5982D811" w14:textId="77777777" w:rsidR="006B0A43" w:rsidRPr="006B0A43" w:rsidRDefault="006B0A43" w:rsidP="006B0A43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>Windsor and Maidenhead</w:t>
            </w:r>
          </w:p>
          <w:p w14:paraId="433422F5" w14:textId="2BE2C4CD" w:rsidR="006B0A43" w:rsidRPr="006B0A43" w:rsidRDefault="006B0A43" w:rsidP="0095216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6B0A43">
              <w:rPr>
                <w:rFonts w:cstheme="minorHAnsi"/>
                <w:b/>
                <w:bCs/>
                <w:sz w:val="22"/>
                <w:szCs w:val="22"/>
              </w:rPr>
              <w:t xml:space="preserve">Wokingham </w:t>
            </w:r>
          </w:p>
        </w:tc>
      </w:tr>
    </w:tbl>
    <w:p w14:paraId="2B4373D2" w14:textId="55BF0CB0" w:rsidR="004363F3" w:rsidRDefault="004363F3" w:rsidP="00952168">
      <w:pPr>
        <w:rPr>
          <w:rFonts w:cstheme="minorHAnsi"/>
          <w:b/>
          <w:bCs/>
          <w:sz w:val="22"/>
          <w:szCs w:val="22"/>
        </w:rPr>
      </w:pPr>
    </w:p>
    <w:p w14:paraId="5B7754DC" w14:textId="35A4C0C5" w:rsidR="004363F3" w:rsidRDefault="004363F3" w:rsidP="00952168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What are the main elements of the agreement? </w:t>
      </w:r>
    </w:p>
    <w:p w14:paraId="4E668037" w14:textId="63B17D6D" w:rsidR="004363F3" w:rsidRDefault="004363F3" w:rsidP="00952168">
      <w:pPr>
        <w:rPr>
          <w:rFonts w:cstheme="minorHAnsi"/>
          <w:sz w:val="22"/>
          <w:szCs w:val="22"/>
        </w:rPr>
      </w:pPr>
      <w:r w:rsidRPr="004363F3">
        <w:rPr>
          <w:rFonts w:cstheme="minorHAnsi"/>
          <w:sz w:val="22"/>
          <w:szCs w:val="22"/>
        </w:rPr>
        <w:t>The agreement se</w:t>
      </w:r>
      <w:r>
        <w:rPr>
          <w:rFonts w:cstheme="minorHAnsi"/>
          <w:sz w:val="22"/>
          <w:szCs w:val="22"/>
        </w:rPr>
        <w:t xml:space="preserve">ts out pay caps representing the maximum authorities will be agency social workers. The rates are set out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1467"/>
        <w:gridCol w:w="1559"/>
        <w:gridCol w:w="3192"/>
      </w:tblGrid>
      <w:tr w:rsidR="004363F3" w:rsidRPr="00A12BB9" w14:paraId="0D8A6A98" w14:textId="77777777" w:rsidTr="001469EC">
        <w:tc>
          <w:tcPr>
            <w:tcW w:w="2072" w:type="dxa"/>
            <w:shd w:val="pct10" w:color="auto" w:fill="auto"/>
          </w:tcPr>
          <w:p w14:paraId="2A65736A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12BB9">
              <w:rPr>
                <w:rFonts w:cstheme="minorHAnsi"/>
                <w:b/>
                <w:bCs/>
              </w:rPr>
              <w:t>Agency Role</w:t>
            </w:r>
          </w:p>
        </w:tc>
        <w:tc>
          <w:tcPr>
            <w:tcW w:w="1467" w:type="dxa"/>
            <w:shd w:val="pct10" w:color="auto" w:fill="auto"/>
          </w:tcPr>
          <w:p w14:paraId="1109800E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12BB9">
              <w:rPr>
                <w:rFonts w:cstheme="minorHAnsi"/>
                <w:b/>
                <w:bCs/>
              </w:rPr>
              <w:t>PAYE Rates</w:t>
            </w:r>
          </w:p>
        </w:tc>
        <w:tc>
          <w:tcPr>
            <w:tcW w:w="1559" w:type="dxa"/>
            <w:shd w:val="pct10" w:color="auto" w:fill="auto"/>
          </w:tcPr>
          <w:p w14:paraId="348244B2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12BB9">
              <w:rPr>
                <w:rFonts w:cstheme="minorHAnsi"/>
                <w:b/>
                <w:bCs/>
              </w:rPr>
              <w:t>Paid to Employing Agency (amount in respect of Employers NI and holiday pay)</w:t>
            </w:r>
          </w:p>
        </w:tc>
        <w:tc>
          <w:tcPr>
            <w:tcW w:w="3192" w:type="dxa"/>
            <w:shd w:val="pct10" w:color="auto" w:fill="auto"/>
          </w:tcPr>
          <w:p w14:paraId="04922F91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12BB9">
              <w:rPr>
                <w:rFonts w:cstheme="minorHAnsi"/>
                <w:b/>
                <w:bCs/>
              </w:rPr>
              <w:t xml:space="preserve">MoC Cap </w:t>
            </w:r>
          </w:p>
          <w:p w14:paraId="77378B6A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12BB9">
              <w:rPr>
                <w:rFonts w:cstheme="minorHAnsi"/>
                <w:b/>
                <w:bCs/>
              </w:rPr>
              <w:t xml:space="preserve">Inclusive of Employers NI and holiday pay </w:t>
            </w:r>
          </w:p>
          <w:p w14:paraId="28EC5520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12BB9">
              <w:rPr>
                <w:rFonts w:cstheme="minorHAnsi"/>
                <w:b/>
                <w:bCs/>
              </w:rPr>
              <w:t>(</w:t>
            </w:r>
            <w:proofErr w:type="gramStart"/>
            <w:r w:rsidRPr="00A12BB9">
              <w:rPr>
                <w:rFonts w:cstheme="minorHAnsi"/>
                <w:b/>
                <w:bCs/>
              </w:rPr>
              <w:t>for</w:t>
            </w:r>
            <w:proofErr w:type="gramEnd"/>
            <w:r w:rsidRPr="00A12BB9">
              <w:rPr>
                <w:rFonts w:cstheme="minorHAnsi"/>
                <w:b/>
                <w:bCs/>
              </w:rPr>
              <w:t xml:space="preserve"> Ltd company and Umbrella Rates)</w:t>
            </w:r>
          </w:p>
        </w:tc>
      </w:tr>
      <w:tr w:rsidR="004363F3" w:rsidRPr="00A12BB9" w14:paraId="08A29C0E" w14:textId="77777777" w:rsidTr="001469EC">
        <w:tc>
          <w:tcPr>
            <w:tcW w:w="2072" w:type="dxa"/>
          </w:tcPr>
          <w:p w14:paraId="12280504" w14:textId="77777777" w:rsidR="004363F3" w:rsidRPr="00A12BB9" w:rsidRDefault="004363F3" w:rsidP="001469E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12BB9">
              <w:rPr>
                <w:rFonts w:cstheme="minorHAnsi"/>
                <w:b/>
                <w:bCs/>
              </w:rPr>
              <w:t xml:space="preserve">Team Manager </w:t>
            </w:r>
          </w:p>
        </w:tc>
        <w:tc>
          <w:tcPr>
            <w:tcW w:w="1467" w:type="dxa"/>
            <w:vAlign w:val="bottom"/>
          </w:tcPr>
          <w:p w14:paraId="24551BFC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£</w:t>
            </w:r>
            <w:r w:rsidRPr="00A12BB9">
              <w:rPr>
                <w:rFonts w:cstheme="minorHAnsi"/>
                <w:color w:val="000000"/>
              </w:rPr>
              <w:t>38.12</w:t>
            </w:r>
          </w:p>
        </w:tc>
        <w:tc>
          <w:tcPr>
            <w:tcW w:w="1559" w:type="dxa"/>
            <w:vAlign w:val="bottom"/>
          </w:tcPr>
          <w:p w14:paraId="701F487E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£</w:t>
            </w:r>
            <w:r w:rsidRPr="00A12BB9">
              <w:rPr>
                <w:rFonts w:cstheme="minorHAnsi"/>
                <w:color w:val="000000"/>
              </w:rPr>
              <w:t>9.38</w:t>
            </w:r>
          </w:p>
        </w:tc>
        <w:tc>
          <w:tcPr>
            <w:tcW w:w="3192" w:type="dxa"/>
          </w:tcPr>
          <w:p w14:paraId="7B2D0195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12BB9">
              <w:rPr>
                <w:rFonts w:cstheme="minorHAnsi"/>
              </w:rPr>
              <w:t>£47.50</w:t>
            </w:r>
          </w:p>
        </w:tc>
      </w:tr>
      <w:tr w:rsidR="004363F3" w:rsidRPr="00A12BB9" w14:paraId="4E558096" w14:textId="77777777" w:rsidTr="001469EC">
        <w:tc>
          <w:tcPr>
            <w:tcW w:w="2072" w:type="dxa"/>
          </w:tcPr>
          <w:p w14:paraId="6149805A" w14:textId="77777777" w:rsidR="004363F3" w:rsidRPr="00A12BB9" w:rsidRDefault="004363F3" w:rsidP="001469E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12BB9">
              <w:rPr>
                <w:rFonts w:cstheme="minorHAnsi"/>
                <w:b/>
                <w:bCs/>
              </w:rPr>
              <w:t xml:space="preserve">Assistant Team Manager </w:t>
            </w:r>
          </w:p>
        </w:tc>
        <w:tc>
          <w:tcPr>
            <w:tcW w:w="1467" w:type="dxa"/>
            <w:vAlign w:val="bottom"/>
          </w:tcPr>
          <w:p w14:paraId="5BCDF088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£</w:t>
            </w:r>
            <w:r w:rsidRPr="00A12BB9">
              <w:rPr>
                <w:rFonts w:cstheme="minorHAnsi"/>
                <w:color w:val="000000"/>
              </w:rPr>
              <w:t>33.71</w:t>
            </w:r>
          </w:p>
        </w:tc>
        <w:tc>
          <w:tcPr>
            <w:tcW w:w="1559" w:type="dxa"/>
            <w:vAlign w:val="bottom"/>
          </w:tcPr>
          <w:p w14:paraId="06918A92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£</w:t>
            </w:r>
            <w:r w:rsidRPr="00A12BB9">
              <w:rPr>
                <w:rFonts w:cstheme="minorHAnsi"/>
                <w:color w:val="000000"/>
              </w:rPr>
              <w:t>8.29</w:t>
            </w:r>
          </w:p>
        </w:tc>
        <w:tc>
          <w:tcPr>
            <w:tcW w:w="3192" w:type="dxa"/>
          </w:tcPr>
          <w:p w14:paraId="187DAB81" w14:textId="77777777" w:rsidR="004363F3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8292AA3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12BB9">
              <w:rPr>
                <w:rFonts w:cstheme="minorHAnsi"/>
              </w:rPr>
              <w:t>£42.00</w:t>
            </w:r>
          </w:p>
        </w:tc>
      </w:tr>
      <w:tr w:rsidR="004363F3" w:rsidRPr="00A12BB9" w14:paraId="59A5F928" w14:textId="77777777" w:rsidTr="001469EC">
        <w:tc>
          <w:tcPr>
            <w:tcW w:w="2072" w:type="dxa"/>
          </w:tcPr>
          <w:p w14:paraId="4132DE5F" w14:textId="77777777" w:rsidR="004363F3" w:rsidRPr="00A12BB9" w:rsidRDefault="004363F3" w:rsidP="001469E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12BB9">
              <w:rPr>
                <w:rFonts w:cstheme="minorHAnsi"/>
                <w:b/>
                <w:bCs/>
              </w:rPr>
              <w:t xml:space="preserve">Senior Social Worker </w:t>
            </w:r>
          </w:p>
        </w:tc>
        <w:tc>
          <w:tcPr>
            <w:tcW w:w="1467" w:type="dxa"/>
            <w:vAlign w:val="bottom"/>
          </w:tcPr>
          <w:p w14:paraId="5789C138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£</w:t>
            </w:r>
            <w:r w:rsidRPr="00A12BB9">
              <w:rPr>
                <w:rFonts w:cstheme="minorHAnsi"/>
                <w:color w:val="000000"/>
              </w:rPr>
              <w:t>33.71</w:t>
            </w:r>
          </w:p>
        </w:tc>
        <w:tc>
          <w:tcPr>
            <w:tcW w:w="1559" w:type="dxa"/>
            <w:vAlign w:val="bottom"/>
          </w:tcPr>
          <w:p w14:paraId="5AC671F6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£</w:t>
            </w:r>
            <w:r w:rsidRPr="00A12BB9">
              <w:rPr>
                <w:rFonts w:cstheme="minorHAnsi"/>
                <w:color w:val="000000"/>
              </w:rPr>
              <w:t>8.29</w:t>
            </w:r>
          </w:p>
        </w:tc>
        <w:tc>
          <w:tcPr>
            <w:tcW w:w="3192" w:type="dxa"/>
          </w:tcPr>
          <w:p w14:paraId="0A0EC46F" w14:textId="77777777" w:rsidR="004363F3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3929689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12BB9">
              <w:rPr>
                <w:rFonts w:cstheme="minorHAnsi"/>
              </w:rPr>
              <w:t>£42.00</w:t>
            </w:r>
          </w:p>
        </w:tc>
      </w:tr>
      <w:tr w:rsidR="004363F3" w:rsidRPr="00A12BB9" w14:paraId="34648765" w14:textId="77777777" w:rsidTr="001469EC">
        <w:tc>
          <w:tcPr>
            <w:tcW w:w="2072" w:type="dxa"/>
          </w:tcPr>
          <w:p w14:paraId="4F54693E" w14:textId="77777777" w:rsidR="004363F3" w:rsidRPr="00A12BB9" w:rsidRDefault="004363F3" w:rsidP="001469E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12BB9">
              <w:rPr>
                <w:rFonts w:cstheme="minorHAnsi"/>
                <w:b/>
                <w:bCs/>
              </w:rPr>
              <w:t xml:space="preserve">Social Worker </w:t>
            </w:r>
          </w:p>
        </w:tc>
        <w:tc>
          <w:tcPr>
            <w:tcW w:w="1467" w:type="dxa"/>
            <w:vAlign w:val="bottom"/>
          </w:tcPr>
          <w:p w14:paraId="74565712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£</w:t>
            </w:r>
            <w:r w:rsidRPr="00A12BB9">
              <w:rPr>
                <w:rFonts w:cstheme="minorHAnsi"/>
                <w:color w:val="000000"/>
              </w:rPr>
              <w:t>30.50</w:t>
            </w:r>
          </w:p>
        </w:tc>
        <w:tc>
          <w:tcPr>
            <w:tcW w:w="1559" w:type="dxa"/>
            <w:vAlign w:val="bottom"/>
          </w:tcPr>
          <w:p w14:paraId="2F574ECB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£</w:t>
            </w:r>
            <w:r w:rsidRPr="00A12BB9">
              <w:rPr>
                <w:rFonts w:cstheme="minorHAnsi"/>
                <w:color w:val="000000"/>
              </w:rPr>
              <w:t>7.50</w:t>
            </w:r>
          </w:p>
        </w:tc>
        <w:tc>
          <w:tcPr>
            <w:tcW w:w="3192" w:type="dxa"/>
          </w:tcPr>
          <w:p w14:paraId="437681F6" w14:textId="77777777" w:rsidR="004363F3" w:rsidRPr="00A12BB9" w:rsidRDefault="004363F3" w:rsidP="001469E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12BB9">
              <w:rPr>
                <w:rFonts w:cstheme="minorHAnsi"/>
              </w:rPr>
              <w:t>£38.00</w:t>
            </w:r>
          </w:p>
        </w:tc>
      </w:tr>
    </w:tbl>
    <w:p w14:paraId="51B25D00" w14:textId="0FAAFD0B" w:rsidR="004363F3" w:rsidRDefault="004363F3" w:rsidP="00952168">
      <w:pPr>
        <w:rPr>
          <w:rFonts w:cstheme="minorHAnsi"/>
          <w:sz w:val="22"/>
          <w:szCs w:val="22"/>
        </w:rPr>
      </w:pPr>
    </w:p>
    <w:p w14:paraId="1104A000" w14:textId="4922EDC5" w:rsidR="004363F3" w:rsidRDefault="004363F3" w:rsidP="00217FDB">
      <w:pPr>
        <w:rPr>
          <w:rFonts w:cstheme="minorHAnsi"/>
          <w:sz w:val="22"/>
          <w:szCs w:val="22"/>
          <w:lang w:val="en-US"/>
        </w:rPr>
      </w:pPr>
      <w:r w:rsidRPr="004363F3">
        <w:rPr>
          <w:rFonts w:cstheme="minorHAnsi"/>
          <w:sz w:val="22"/>
          <w:szCs w:val="22"/>
          <w:lang w:val="en-US"/>
        </w:rPr>
        <w:t>This is the hourly rate paid to the worker excluding the agency fee</w:t>
      </w:r>
      <w:r w:rsidR="00217FDB">
        <w:rPr>
          <w:rFonts w:cstheme="minorHAnsi"/>
          <w:sz w:val="22"/>
          <w:szCs w:val="22"/>
        </w:rPr>
        <w:t xml:space="preserve">. </w:t>
      </w:r>
      <w:r w:rsidR="00217FDB">
        <w:rPr>
          <w:rFonts w:cstheme="minorHAnsi"/>
          <w:sz w:val="22"/>
          <w:szCs w:val="22"/>
          <w:lang w:val="en-US"/>
        </w:rPr>
        <w:t xml:space="preserve">The cap represents the maximum agency workers in each of these roles should be paid. </w:t>
      </w:r>
    </w:p>
    <w:p w14:paraId="5C0871F6" w14:textId="77777777" w:rsidR="004363F3" w:rsidRPr="004363F3" w:rsidRDefault="004363F3" w:rsidP="00217FDB">
      <w:pPr>
        <w:rPr>
          <w:rFonts w:cstheme="minorHAnsi"/>
          <w:sz w:val="22"/>
          <w:szCs w:val="22"/>
        </w:rPr>
      </w:pPr>
    </w:p>
    <w:p w14:paraId="64A8B9E0" w14:textId="4E7E28C7" w:rsidR="00217FDB" w:rsidRDefault="00217FDB" w:rsidP="00217FD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MoC also contains an agreement that a</w:t>
      </w:r>
      <w:r w:rsidRPr="00217FDB">
        <w:rPr>
          <w:rFonts w:cstheme="minorHAnsi"/>
          <w:sz w:val="22"/>
          <w:szCs w:val="22"/>
        </w:rPr>
        <w:t xml:space="preserve">ny children’s social worker leaving a permanent contract will not be employed on an agency contract by another authority in the region within 6 months. This would not apply to permanent staff moving to permanent roles in other authorities within the region. Social workers who are made redundant from a permanent post </w:t>
      </w:r>
      <w:r>
        <w:rPr>
          <w:rFonts w:cstheme="minorHAnsi"/>
          <w:sz w:val="22"/>
          <w:szCs w:val="22"/>
        </w:rPr>
        <w:t>are</w:t>
      </w:r>
      <w:r w:rsidRPr="00217FDB">
        <w:rPr>
          <w:rFonts w:cstheme="minorHAnsi"/>
          <w:sz w:val="22"/>
          <w:szCs w:val="22"/>
        </w:rPr>
        <w:t xml:space="preserve"> exempt from this requirement.  </w:t>
      </w:r>
    </w:p>
    <w:p w14:paraId="58EF466A" w14:textId="6E6D2E77" w:rsidR="00217FDB" w:rsidRDefault="00217FDB" w:rsidP="00217FDB">
      <w:pPr>
        <w:rPr>
          <w:rFonts w:cstheme="minorHAnsi"/>
          <w:sz w:val="22"/>
          <w:szCs w:val="22"/>
        </w:rPr>
      </w:pPr>
    </w:p>
    <w:p w14:paraId="250AF6CA" w14:textId="77777777" w:rsidR="00217FDB" w:rsidRDefault="00217FDB" w:rsidP="00217FD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MoC also contains agreements about providing good quality timely references for agency worker. </w:t>
      </w:r>
    </w:p>
    <w:p w14:paraId="161196B6" w14:textId="77777777" w:rsidR="00217FDB" w:rsidRDefault="00217FDB" w:rsidP="00217FDB">
      <w:pPr>
        <w:rPr>
          <w:rFonts w:cstheme="minorHAnsi"/>
          <w:sz w:val="22"/>
          <w:szCs w:val="22"/>
        </w:rPr>
      </w:pPr>
    </w:p>
    <w:p w14:paraId="2DBA502F" w14:textId="2B259AC3" w:rsidR="004363F3" w:rsidRPr="006B0A43" w:rsidRDefault="00217FDB" w:rsidP="004363F3">
      <w:pPr>
        <w:rPr>
          <w:rFonts w:cstheme="minorHAnsi"/>
          <w:b/>
          <w:bCs/>
          <w:sz w:val="22"/>
          <w:szCs w:val="22"/>
        </w:rPr>
      </w:pPr>
      <w:r w:rsidRPr="00217FDB">
        <w:rPr>
          <w:rFonts w:cstheme="minorHAnsi"/>
          <w:b/>
          <w:bCs/>
          <w:sz w:val="22"/>
          <w:szCs w:val="22"/>
        </w:rPr>
        <w:t xml:space="preserve">Is the MoC just about saving money?  </w:t>
      </w:r>
    </w:p>
    <w:p w14:paraId="35A38C0F" w14:textId="0C698DE0" w:rsidR="00217FDB" w:rsidRDefault="00217FDB" w:rsidP="004363F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No, the MoC is designed to promote fairness (to permanent workers), </w:t>
      </w:r>
      <w:r w:rsidR="00A0788E">
        <w:rPr>
          <w:rFonts w:cstheme="minorHAnsi"/>
          <w:sz w:val="22"/>
          <w:szCs w:val="22"/>
        </w:rPr>
        <w:t xml:space="preserve">to </w:t>
      </w:r>
      <w:r>
        <w:rPr>
          <w:rFonts w:cstheme="minorHAnsi"/>
          <w:sz w:val="22"/>
          <w:szCs w:val="22"/>
        </w:rPr>
        <w:t xml:space="preserve">improve the quality </w:t>
      </w:r>
      <w:r w:rsidR="00A0788E">
        <w:rPr>
          <w:rFonts w:cstheme="minorHAnsi"/>
          <w:sz w:val="22"/>
          <w:szCs w:val="22"/>
        </w:rPr>
        <w:t xml:space="preserve">and promote better outcomes for children. </w:t>
      </w:r>
    </w:p>
    <w:p w14:paraId="48747682" w14:textId="36F3328B" w:rsidR="00A0788E" w:rsidRDefault="00A0788E" w:rsidP="004363F3">
      <w:pPr>
        <w:rPr>
          <w:rFonts w:cstheme="minorHAnsi"/>
          <w:sz w:val="22"/>
          <w:szCs w:val="22"/>
        </w:rPr>
      </w:pPr>
    </w:p>
    <w:p w14:paraId="4A8B0317" w14:textId="5CAEEE59" w:rsidR="00A0788E" w:rsidRDefault="00A0788E" w:rsidP="004363F3">
      <w:pPr>
        <w:rPr>
          <w:rFonts w:cstheme="minorHAnsi"/>
          <w:b/>
          <w:bCs/>
          <w:sz w:val="22"/>
          <w:szCs w:val="22"/>
        </w:rPr>
      </w:pPr>
      <w:r w:rsidRPr="00A0788E">
        <w:rPr>
          <w:rFonts w:cstheme="minorHAnsi"/>
          <w:b/>
          <w:bCs/>
          <w:sz w:val="22"/>
          <w:szCs w:val="22"/>
        </w:rPr>
        <w:t xml:space="preserve">If you have any questions about the MoC? </w:t>
      </w:r>
    </w:p>
    <w:p w14:paraId="3EC15C90" w14:textId="578E6C13" w:rsidR="00A0788E" w:rsidRPr="00A0788E" w:rsidRDefault="00A0788E" w:rsidP="004363F3">
      <w:pPr>
        <w:rPr>
          <w:rFonts w:cstheme="minorHAnsi"/>
          <w:sz w:val="22"/>
          <w:szCs w:val="22"/>
        </w:rPr>
      </w:pPr>
      <w:r w:rsidRPr="00A0788E">
        <w:rPr>
          <w:rFonts w:cstheme="minorHAnsi"/>
          <w:sz w:val="22"/>
          <w:szCs w:val="22"/>
          <w:highlight w:val="yellow"/>
        </w:rPr>
        <w:t>&lt;Please add the name of an appropriate person in your authority&gt;</w:t>
      </w:r>
      <w:r>
        <w:rPr>
          <w:rFonts w:cstheme="minorHAnsi"/>
          <w:sz w:val="22"/>
          <w:szCs w:val="22"/>
        </w:rPr>
        <w:t xml:space="preserve"> - The person named can contact </w:t>
      </w:r>
      <w:hyperlink r:id="rId5" w:history="1">
        <w:r w:rsidRPr="00C862F6">
          <w:rPr>
            <w:rStyle w:val="Hyperlink"/>
            <w:rFonts w:cstheme="minorHAnsi"/>
            <w:sz w:val="22"/>
            <w:szCs w:val="22"/>
          </w:rPr>
          <w:t>Mark@markevansconsulting.co.uk</w:t>
        </w:r>
      </w:hyperlink>
      <w:r>
        <w:rPr>
          <w:rFonts w:cstheme="minorHAnsi"/>
          <w:sz w:val="22"/>
          <w:szCs w:val="22"/>
        </w:rPr>
        <w:t xml:space="preserve"> with any queries they would like support with.</w:t>
      </w:r>
    </w:p>
    <w:sectPr w:rsidR="00A0788E" w:rsidRPr="00A0788E" w:rsidSect="00A07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6106"/>
    <w:multiLevelType w:val="hybridMultilevel"/>
    <w:tmpl w:val="B8868F00"/>
    <w:lvl w:ilvl="0" w:tplc="60D40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082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207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21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40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DE08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86C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052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926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706BD"/>
    <w:multiLevelType w:val="hybridMultilevel"/>
    <w:tmpl w:val="47E6D36E"/>
    <w:lvl w:ilvl="0" w:tplc="B4DC0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4C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4A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0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A7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29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B60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6E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AB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7E16DC"/>
    <w:multiLevelType w:val="hybridMultilevel"/>
    <w:tmpl w:val="E48698F2"/>
    <w:lvl w:ilvl="0" w:tplc="DEAAD46C">
      <w:start w:val="3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31F37"/>
    <w:multiLevelType w:val="hybridMultilevel"/>
    <w:tmpl w:val="829AE19C"/>
    <w:lvl w:ilvl="0" w:tplc="B67C35A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82D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401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70C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AB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251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C5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AD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6085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BD638B"/>
    <w:multiLevelType w:val="hybridMultilevel"/>
    <w:tmpl w:val="4F7A54AA"/>
    <w:lvl w:ilvl="0" w:tplc="552AC41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1A8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D8B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0E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418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70F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722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66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E8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68"/>
    <w:rsid w:val="000C0AA7"/>
    <w:rsid w:val="00217FDB"/>
    <w:rsid w:val="00291FB5"/>
    <w:rsid w:val="004363F3"/>
    <w:rsid w:val="006B0A43"/>
    <w:rsid w:val="007F100F"/>
    <w:rsid w:val="00952168"/>
    <w:rsid w:val="00A0788E"/>
    <w:rsid w:val="00A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7F9D0"/>
  <w15:chartTrackingRefBased/>
  <w15:docId w15:val="{E16C80D5-D8A3-8643-8B55-41F34EE0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1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168"/>
    <w:pPr>
      <w:ind w:left="720"/>
      <w:contextualSpacing/>
    </w:pPr>
  </w:style>
  <w:style w:type="table" w:styleId="TableGrid">
    <w:name w:val="Table Grid"/>
    <w:basedOn w:val="TableNormal"/>
    <w:uiPriority w:val="39"/>
    <w:rsid w:val="0043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78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17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18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50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73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90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45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89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57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86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55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5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8908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42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79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63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56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30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55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228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70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@markevansconsulting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Evans</dc:creator>
  <cp:keywords/>
  <dc:description/>
  <cp:lastModifiedBy>Mark Evans</cp:lastModifiedBy>
  <cp:revision>2</cp:revision>
  <dcterms:created xsi:type="dcterms:W3CDTF">2022-03-23T17:46:00Z</dcterms:created>
  <dcterms:modified xsi:type="dcterms:W3CDTF">2022-03-23T17:46:00Z</dcterms:modified>
</cp:coreProperties>
</file>