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153" w:rsidRDefault="009B2153" w:rsidP="009B2153">
      <w:pPr>
        <w:jc w:val="center"/>
        <w:rPr>
          <w:rFonts w:ascii="Century Gothic" w:hAnsi="Century Gothic"/>
          <w:b/>
          <w:u w:val="single"/>
          <w:lang w:val="en-GB"/>
        </w:rPr>
      </w:pPr>
      <w:r>
        <w:rPr>
          <w:rFonts w:ascii="Century Gothic" w:hAnsi="Century Gothic"/>
          <w:b/>
          <w:u w:val="single"/>
          <w:lang w:val="en-GB"/>
        </w:rPr>
        <w:t>The S</w:t>
      </w:r>
      <w:r w:rsidR="00661DFB">
        <w:rPr>
          <w:rFonts w:ascii="Century Gothic" w:hAnsi="Century Gothic"/>
          <w:b/>
          <w:u w:val="single"/>
          <w:lang w:val="en-GB"/>
        </w:rPr>
        <w:t>outh East Sector Led Improvement P</w:t>
      </w:r>
      <w:r w:rsidRPr="009B2153">
        <w:rPr>
          <w:rFonts w:ascii="Century Gothic" w:hAnsi="Century Gothic"/>
          <w:b/>
          <w:u w:val="single"/>
          <w:lang w:val="en-GB"/>
        </w:rPr>
        <w:t>rogramme</w:t>
      </w:r>
      <w:r>
        <w:rPr>
          <w:rFonts w:ascii="Century Gothic" w:hAnsi="Century Gothic"/>
          <w:b/>
          <w:u w:val="single"/>
          <w:lang w:val="en-GB"/>
        </w:rPr>
        <w:t xml:space="preserve"> (SESLIP)</w:t>
      </w:r>
    </w:p>
    <w:p w:rsidR="009B2153" w:rsidRPr="009B2153" w:rsidRDefault="009B2153" w:rsidP="009B2153">
      <w:pPr>
        <w:jc w:val="center"/>
        <w:rPr>
          <w:rFonts w:ascii="Century Gothic" w:hAnsi="Century Gothic"/>
          <w:b/>
          <w:u w:val="single"/>
          <w:lang w:val="en-GB"/>
        </w:rPr>
      </w:pPr>
    </w:p>
    <w:p w:rsidR="009B2153" w:rsidRDefault="009B2153" w:rsidP="009B2153">
      <w:pPr>
        <w:jc w:val="center"/>
        <w:rPr>
          <w:rFonts w:ascii="Century Gothic" w:hAnsi="Century Gothic"/>
          <w:b/>
          <w:u w:val="single"/>
          <w:lang w:val="en-GB"/>
        </w:rPr>
      </w:pPr>
      <w:r w:rsidRPr="009B2153">
        <w:rPr>
          <w:rFonts w:ascii="Century Gothic" w:hAnsi="Century Gothic"/>
          <w:b/>
          <w:u w:val="single"/>
          <w:lang w:val="en-GB"/>
        </w:rPr>
        <w:t>Evaluating the impact of Early Help –</w:t>
      </w:r>
      <w:r w:rsidR="00661DFB">
        <w:rPr>
          <w:rFonts w:ascii="Century Gothic" w:hAnsi="Century Gothic"/>
          <w:b/>
          <w:u w:val="single"/>
          <w:lang w:val="en-GB"/>
        </w:rPr>
        <w:t xml:space="preserve"> A Literature R</w:t>
      </w:r>
      <w:r w:rsidRPr="009B2153">
        <w:rPr>
          <w:rFonts w:ascii="Century Gothic" w:hAnsi="Century Gothic"/>
          <w:b/>
          <w:u w:val="single"/>
          <w:lang w:val="en-GB"/>
        </w:rPr>
        <w:t>eview</w:t>
      </w:r>
    </w:p>
    <w:p w:rsidR="009B2153" w:rsidRDefault="009B2153" w:rsidP="009B2153">
      <w:pPr>
        <w:jc w:val="center"/>
        <w:rPr>
          <w:rFonts w:ascii="Century Gothic" w:hAnsi="Century Gothic"/>
          <w:b/>
          <w:u w:val="single"/>
          <w:lang w:val="en-GB"/>
        </w:rPr>
      </w:pPr>
    </w:p>
    <w:p w:rsidR="009B2153" w:rsidRDefault="009B2153" w:rsidP="009B2153">
      <w:pPr>
        <w:pStyle w:val="ListParagraph"/>
        <w:numPr>
          <w:ilvl w:val="0"/>
          <w:numId w:val="1"/>
        </w:numPr>
        <w:rPr>
          <w:rFonts w:ascii="Century Gothic" w:hAnsi="Century Gothic"/>
          <w:b/>
          <w:u w:val="single"/>
          <w:lang w:val="en-GB"/>
        </w:rPr>
      </w:pPr>
      <w:r>
        <w:rPr>
          <w:rFonts w:ascii="Century Gothic" w:hAnsi="Century Gothic"/>
          <w:b/>
          <w:u w:val="single"/>
          <w:lang w:val="en-GB"/>
        </w:rPr>
        <w:t>Introduction</w:t>
      </w:r>
    </w:p>
    <w:p w:rsidR="009B2153" w:rsidRDefault="009B2153" w:rsidP="009B2153">
      <w:pPr>
        <w:rPr>
          <w:rFonts w:ascii="Century Gothic" w:hAnsi="Century Gothic"/>
          <w:lang w:val="en-GB"/>
        </w:rPr>
      </w:pPr>
    </w:p>
    <w:p w:rsidR="009B2153" w:rsidRDefault="009B2153" w:rsidP="009B2153">
      <w:pPr>
        <w:rPr>
          <w:rFonts w:ascii="Century Gothic" w:hAnsi="Century Gothic"/>
          <w:lang w:val="en-GB"/>
        </w:rPr>
      </w:pPr>
      <w:r>
        <w:rPr>
          <w:rFonts w:ascii="Century Gothic" w:hAnsi="Century Gothic"/>
          <w:lang w:val="en-GB"/>
        </w:rPr>
        <w:t>This paper forms part of the Early Help Project</w:t>
      </w:r>
      <w:r w:rsidR="00661DFB">
        <w:rPr>
          <w:rFonts w:ascii="Century Gothic" w:hAnsi="Century Gothic"/>
          <w:lang w:val="en-GB"/>
        </w:rPr>
        <w:t>,</w:t>
      </w:r>
      <w:r>
        <w:rPr>
          <w:rFonts w:ascii="Century Gothic" w:hAnsi="Century Gothic"/>
          <w:lang w:val="en-GB"/>
        </w:rPr>
        <w:t xml:space="preserve"> which aims to establish an effective process for </w:t>
      </w:r>
      <w:r w:rsidR="00E47860">
        <w:rPr>
          <w:rFonts w:ascii="Century Gothic" w:hAnsi="Century Gothic"/>
          <w:lang w:val="en-GB"/>
        </w:rPr>
        <w:t xml:space="preserve">the </w:t>
      </w:r>
      <w:r>
        <w:rPr>
          <w:rFonts w:ascii="Century Gothic" w:hAnsi="Century Gothic"/>
          <w:lang w:val="en-GB"/>
        </w:rPr>
        <w:t>evaluation</w:t>
      </w:r>
      <w:r w:rsidR="00E47860">
        <w:rPr>
          <w:rFonts w:ascii="Century Gothic" w:hAnsi="Century Gothic"/>
          <w:lang w:val="en-GB"/>
        </w:rPr>
        <w:t xml:space="preserve"> of</w:t>
      </w:r>
      <w:r>
        <w:rPr>
          <w:rFonts w:ascii="Century Gothic" w:hAnsi="Century Gothic"/>
          <w:lang w:val="en-GB"/>
        </w:rPr>
        <w:t xml:space="preserve"> the impact of early </w:t>
      </w:r>
      <w:r w:rsidR="00E47860">
        <w:rPr>
          <w:rFonts w:ascii="Century Gothic" w:hAnsi="Century Gothic"/>
          <w:lang w:val="en-GB"/>
        </w:rPr>
        <w:t>help services across the South E</w:t>
      </w:r>
      <w:r>
        <w:rPr>
          <w:rFonts w:ascii="Century Gothic" w:hAnsi="Century Gothic"/>
          <w:lang w:val="en-GB"/>
        </w:rPr>
        <w:t>ast region.</w:t>
      </w:r>
    </w:p>
    <w:p w:rsidR="009B2153" w:rsidRDefault="009B2153" w:rsidP="009B2153">
      <w:pPr>
        <w:rPr>
          <w:rFonts w:ascii="Century Gothic" w:hAnsi="Century Gothic"/>
          <w:lang w:val="en-GB"/>
        </w:rPr>
      </w:pPr>
    </w:p>
    <w:p w:rsidR="001C376A" w:rsidRDefault="00E47860" w:rsidP="00B26D5C">
      <w:pPr>
        <w:rPr>
          <w:rFonts w:ascii="Century Gothic" w:hAnsi="Century Gothic"/>
          <w:lang w:val="en-GB"/>
        </w:rPr>
      </w:pPr>
      <w:r>
        <w:rPr>
          <w:rFonts w:ascii="Century Gothic" w:hAnsi="Century Gothic"/>
          <w:lang w:val="en-GB"/>
        </w:rPr>
        <w:t xml:space="preserve">The SESLIP </w:t>
      </w:r>
      <w:r w:rsidR="009B2153">
        <w:rPr>
          <w:rFonts w:ascii="Century Gothic" w:hAnsi="Century Gothic"/>
          <w:lang w:val="en-GB"/>
        </w:rPr>
        <w:t xml:space="preserve">identified this work as a priority for action in 2015 and further impetus was added when the </w:t>
      </w:r>
      <w:proofErr w:type="spellStart"/>
      <w:r w:rsidR="009B2153">
        <w:rPr>
          <w:rFonts w:ascii="Century Gothic" w:hAnsi="Century Gothic"/>
          <w:lang w:val="en-GB"/>
        </w:rPr>
        <w:t>Ofsted</w:t>
      </w:r>
      <w:proofErr w:type="spellEnd"/>
      <w:r w:rsidR="009B2153">
        <w:rPr>
          <w:rFonts w:ascii="Century Gothic" w:hAnsi="Century Gothic"/>
          <w:lang w:val="en-GB"/>
        </w:rPr>
        <w:t xml:space="preserve"> thematic report</w:t>
      </w:r>
      <w:r w:rsidR="00661DFB">
        <w:rPr>
          <w:rFonts w:ascii="Century Gothic" w:hAnsi="Century Gothic"/>
          <w:lang w:val="en-GB"/>
        </w:rPr>
        <w:t>,</w:t>
      </w:r>
      <w:r w:rsidR="009B2153">
        <w:rPr>
          <w:rFonts w:ascii="Century Gothic" w:hAnsi="Century Gothic"/>
          <w:lang w:val="en-GB"/>
        </w:rPr>
        <w:t xml:space="preserve"> </w:t>
      </w:r>
      <w:r w:rsidR="00B26D5C">
        <w:rPr>
          <w:rFonts w:ascii="Century Gothic" w:hAnsi="Century Gothic"/>
          <w:lang w:val="en-GB"/>
        </w:rPr>
        <w:t>“Early Help: Whose Responsibility”</w:t>
      </w:r>
      <w:r w:rsidR="00661DFB">
        <w:rPr>
          <w:rFonts w:ascii="Century Gothic" w:hAnsi="Century Gothic"/>
          <w:lang w:val="en-GB"/>
        </w:rPr>
        <w:t>,</w:t>
      </w:r>
      <w:r w:rsidR="00B26D5C">
        <w:rPr>
          <w:rFonts w:ascii="Century Gothic" w:hAnsi="Century Gothic"/>
          <w:lang w:val="en-GB"/>
        </w:rPr>
        <w:t xml:space="preserve"> was published in March 2015.  The report was based on inspections of 56 early help cases across 12 local authorities</w:t>
      </w:r>
      <w:r>
        <w:rPr>
          <w:rFonts w:ascii="Century Gothic" w:hAnsi="Century Gothic"/>
          <w:lang w:val="en-GB"/>
        </w:rPr>
        <w:t xml:space="preserve"> (2 of whom were in the South East region)</w:t>
      </w:r>
      <w:r w:rsidR="00B26D5C">
        <w:rPr>
          <w:rFonts w:ascii="Century Gothic" w:hAnsi="Century Gothic"/>
          <w:lang w:val="en-GB"/>
        </w:rPr>
        <w:t xml:space="preserve">.  </w:t>
      </w:r>
    </w:p>
    <w:p w:rsidR="001C376A" w:rsidRDefault="001C376A" w:rsidP="00B26D5C">
      <w:pPr>
        <w:rPr>
          <w:rFonts w:ascii="Century Gothic" w:hAnsi="Century Gothic"/>
          <w:lang w:val="en-GB"/>
        </w:rPr>
      </w:pPr>
    </w:p>
    <w:p w:rsidR="001C376A" w:rsidRDefault="00B26D5C" w:rsidP="00B26D5C">
      <w:pPr>
        <w:rPr>
          <w:rFonts w:ascii="Century Gothic" w:hAnsi="Century Gothic"/>
          <w:lang w:val="en-GB"/>
        </w:rPr>
      </w:pPr>
      <w:r>
        <w:rPr>
          <w:rFonts w:ascii="Century Gothic" w:hAnsi="Century Gothic"/>
          <w:lang w:val="en-GB"/>
        </w:rPr>
        <w:t xml:space="preserve">The report </w:t>
      </w:r>
      <w:r w:rsidR="001C376A">
        <w:rPr>
          <w:rFonts w:ascii="Century Gothic" w:hAnsi="Century Gothic"/>
          <w:lang w:val="en-GB"/>
        </w:rPr>
        <w:t>found</w:t>
      </w:r>
      <w:r>
        <w:rPr>
          <w:rFonts w:ascii="Century Gothic" w:hAnsi="Century Gothic"/>
          <w:lang w:val="en-GB"/>
        </w:rPr>
        <w:t xml:space="preserve"> that </w:t>
      </w:r>
      <w:r w:rsidR="001C376A" w:rsidRPr="00B26D5C">
        <w:rPr>
          <w:rFonts w:ascii="Century Gothic" w:hAnsi="Century Gothic"/>
          <w:lang w:val="en-GB"/>
        </w:rPr>
        <w:t xml:space="preserve">local authorities and their </w:t>
      </w:r>
      <w:proofErr w:type="gramStart"/>
      <w:r w:rsidR="001C376A" w:rsidRPr="00B26D5C">
        <w:rPr>
          <w:rFonts w:ascii="Century Gothic" w:hAnsi="Century Gothic"/>
          <w:lang w:val="en-GB"/>
        </w:rPr>
        <w:t>partners,</w:t>
      </w:r>
      <w:proofErr w:type="gramEnd"/>
      <w:r w:rsidR="001C376A" w:rsidRPr="00B26D5C">
        <w:rPr>
          <w:rFonts w:ascii="Century Gothic" w:hAnsi="Century Gothic"/>
          <w:lang w:val="en-GB"/>
        </w:rPr>
        <w:t xml:space="preserve"> increasingly prioritised the offer of help to f</w:t>
      </w:r>
      <w:r w:rsidR="001C376A">
        <w:rPr>
          <w:rFonts w:ascii="Century Gothic" w:hAnsi="Century Gothic"/>
          <w:lang w:val="en-GB"/>
        </w:rPr>
        <w:t>amilies, when concerns first aro</w:t>
      </w:r>
      <w:r w:rsidR="001C376A" w:rsidRPr="00B26D5C">
        <w:rPr>
          <w:rFonts w:ascii="Century Gothic" w:hAnsi="Century Gothic"/>
          <w:lang w:val="en-GB"/>
        </w:rPr>
        <w:t>se</w:t>
      </w:r>
      <w:r w:rsidRPr="00B26D5C">
        <w:rPr>
          <w:rFonts w:ascii="Century Gothic" w:hAnsi="Century Gothic"/>
          <w:lang w:val="en-GB"/>
        </w:rPr>
        <w:t xml:space="preserve">. As a result, more children </w:t>
      </w:r>
      <w:r w:rsidR="001C376A">
        <w:rPr>
          <w:rFonts w:ascii="Century Gothic" w:hAnsi="Century Gothic"/>
          <w:lang w:val="en-GB"/>
        </w:rPr>
        <w:t>we</w:t>
      </w:r>
      <w:r w:rsidRPr="00B26D5C">
        <w:rPr>
          <w:rFonts w:ascii="Century Gothic" w:hAnsi="Century Gothic"/>
          <w:lang w:val="en-GB"/>
        </w:rPr>
        <w:t>re ben</w:t>
      </w:r>
      <w:r w:rsidR="001C376A">
        <w:rPr>
          <w:rFonts w:ascii="Century Gothic" w:hAnsi="Century Gothic"/>
          <w:lang w:val="en-GB"/>
        </w:rPr>
        <w:t xml:space="preserve">efiting from </w:t>
      </w:r>
      <w:r w:rsidRPr="00B26D5C">
        <w:rPr>
          <w:rFonts w:ascii="Century Gothic" w:hAnsi="Century Gothic"/>
          <w:lang w:val="en-GB"/>
        </w:rPr>
        <w:t>coordinated support earlier</w:t>
      </w:r>
      <w:r w:rsidR="001C376A">
        <w:rPr>
          <w:rFonts w:ascii="Century Gothic" w:hAnsi="Century Gothic"/>
          <w:lang w:val="en-GB"/>
        </w:rPr>
        <w:t xml:space="preserve">. </w:t>
      </w:r>
      <w:r w:rsidRPr="00B26D5C">
        <w:rPr>
          <w:rFonts w:ascii="Century Gothic" w:hAnsi="Century Gothic"/>
          <w:lang w:val="en-GB"/>
        </w:rPr>
        <w:t xml:space="preserve"> The quality and effectiveness of early help service</w:t>
      </w:r>
      <w:r w:rsidR="001C376A">
        <w:rPr>
          <w:rFonts w:ascii="Century Gothic" w:hAnsi="Century Gothic"/>
          <w:lang w:val="en-GB"/>
        </w:rPr>
        <w:t>s however remained</w:t>
      </w:r>
      <w:r w:rsidR="00E47860">
        <w:rPr>
          <w:rFonts w:ascii="Century Gothic" w:hAnsi="Century Gothic"/>
          <w:lang w:val="en-GB"/>
        </w:rPr>
        <w:t xml:space="preserve"> variable</w:t>
      </w:r>
      <w:r w:rsidRPr="00B26D5C">
        <w:rPr>
          <w:rFonts w:ascii="Century Gothic" w:hAnsi="Century Gothic"/>
          <w:lang w:val="en-GB"/>
        </w:rPr>
        <w:t>. Children’</w:t>
      </w:r>
      <w:r w:rsidR="001C376A">
        <w:rPr>
          <w:rFonts w:ascii="Century Gothic" w:hAnsi="Century Gothic"/>
          <w:lang w:val="en-GB"/>
        </w:rPr>
        <w:t>s need for additional support was</w:t>
      </w:r>
      <w:r w:rsidRPr="00B26D5C">
        <w:rPr>
          <w:rFonts w:ascii="Century Gothic" w:hAnsi="Century Gothic"/>
          <w:lang w:val="en-GB"/>
        </w:rPr>
        <w:t xml:space="preserve"> often not identified or acted on</w:t>
      </w:r>
      <w:r w:rsidR="00E47860">
        <w:rPr>
          <w:rFonts w:ascii="Century Gothic" w:hAnsi="Century Gothic"/>
          <w:lang w:val="en-GB"/>
        </w:rPr>
        <w:t>,</w:t>
      </w:r>
      <w:r w:rsidRPr="00B26D5C">
        <w:rPr>
          <w:rFonts w:ascii="Century Gothic" w:hAnsi="Century Gothic"/>
          <w:lang w:val="en-GB"/>
        </w:rPr>
        <w:t xml:space="preserve"> at the right time. The assessment and planning of se</w:t>
      </w:r>
      <w:r w:rsidR="001C376A">
        <w:rPr>
          <w:rFonts w:ascii="Century Gothic" w:hAnsi="Century Gothic"/>
          <w:lang w:val="en-GB"/>
        </w:rPr>
        <w:t>rvices for individual children we</w:t>
      </w:r>
      <w:r w:rsidRPr="00B26D5C">
        <w:rPr>
          <w:rFonts w:ascii="Century Gothic" w:hAnsi="Century Gothic"/>
          <w:lang w:val="en-GB"/>
        </w:rPr>
        <w:t>re too often insufficiently focused on improving</w:t>
      </w:r>
      <w:r w:rsidR="001C376A">
        <w:rPr>
          <w:rFonts w:ascii="Century Gothic" w:hAnsi="Century Gothic"/>
          <w:lang w:val="en-GB"/>
        </w:rPr>
        <w:t xml:space="preserve"> outcomes for the child. Plans we</w:t>
      </w:r>
      <w:r w:rsidRPr="00B26D5C">
        <w:rPr>
          <w:rFonts w:ascii="Century Gothic" w:hAnsi="Century Gothic"/>
          <w:lang w:val="en-GB"/>
        </w:rPr>
        <w:t>re not consistently or effectively rev</w:t>
      </w:r>
      <w:r w:rsidR="001C376A">
        <w:rPr>
          <w:rFonts w:ascii="Century Gothic" w:hAnsi="Century Gothic"/>
          <w:lang w:val="en-GB"/>
        </w:rPr>
        <w:t>iewed and management oversight wa</w:t>
      </w:r>
      <w:r w:rsidRPr="00B26D5C">
        <w:rPr>
          <w:rFonts w:ascii="Century Gothic" w:hAnsi="Century Gothic"/>
          <w:lang w:val="en-GB"/>
        </w:rPr>
        <w:t xml:space="preserve">s not rigorous enough. </w:t>
      </w:r>
    </w:p>
    <w:p w:rsidR="00B26D5C" w:rsidRPr="00B26D5C" w:rsidRDefault="00B26D5C" w:rsidP="00B26D5C">
      <w:pPr>
        <w:rPr>
          <w:rFonts w:ascii="Century Gothic" w:hAnsi="Century Gothic"/>
          <w:lang w:val="en-GB"/>
        </w:rPr>
      </w:pPr>
    </w:p>
    <w:p w:rsidR="00B26D5C" w:rsidRPr="00B26D5C" w:rsidRDefault="001C376A" w:rsidP="00B26D5C">
      <w:pPr>
        <w:rPr>
          <w:rFonts w:ascii="Century Gothic" w:hAnsi="Century Gothic"/>
          <w:lang w:val="en-GB"/>
        </w:rPr>
      </w:pPr>
      <w:r>
        <w:rPr>
          <w:rFonts w:ascii="Century Gothic" w:hAnsi="Century Gothic"/>
          <w:lang w:val="en-GB"/>
        </w:rPr>
        <w:t>Inspectors concluded that p</w:t>
      </w:r>
      <w:r w:rsidR="00B26D5C" w:rsidRPr="00B26D5C">
        <w:rPr>
          <w:rFonts w:ascii="Century Gothic" w:hAnsi="Century Gothic"/>
          <w:lang w:val="en-GB"/>
        </w:rPr>
        <w:t>l</w:t>
      </w:r>
      <w:r w:rsidR="00E47860">
        <w:rPr>
          <w:rFonts w:ascii="Century Gothic" w:hAnsi="Century Gothic"/>
          <w:lang w:val="en-GB"/>
        </w:rPr>
        <w:t>anning for early help services wa</w:t>
      </w:r>
      <w:r w:rsidR="00B26D5C" w:rsidRPr="00B26D5C">
        <w:rPr>
          <w:rFonts w:ascii="Century Gothic" w:hAnsi="Century Gothic"/>
          <w:lang w:val="en-GB"/>
        </w:rPr>
        <w:t>s not informed by robust needs assessments. Neglect, parental substance misuse or ill health and domestic abuse are key factors undermining the welfare of ch</w:t>
      </w:r>
      <w:r w:rsidR="00E47860">
        <w:rPr>
          <w:rFonts w:ascii="Century Gothic" w:hAnsi="Century Gothic"/>
          <w:lang w:val="en-GB"/>
        </w:rPr>
        <w:t>ildren but not enough priority wa</w:t>
      </w:r>
      <w:r w:rsidR="00B26D5C" w:rsidRPr="00B26D5C">
        <w:rPr>
          <w:rFonts w:ascii="Century Gothic" w:hAnsi="Century Gothic"/>
          <w:lang w:val="en-GB"/>
        </w:rPr>
        <w:t xml:space="preserve">s given to understanding the nature and extent of these </w:t>
      </w:r>
      <w:r w:rsidR="00E47860">
        <w:rPr>
          <w:rFonts w:ascii="Century Gothic" w:hAnsi="Century Gothic"/>
          <w:lang w:val="en-GB"/>
        </w:rPr>
        <w:t>needs in local communities. It wa</w:t>
      </w:r>
      <w:r w:rsidR="00B26D5C" w:rsidRPr="00B26D5C">
        <w:rPr>
          <w:rFonts w:ascii="Century Gothic" w:hAnsi="Century Gothic"/>
          <w:lang w:val="en-GB"/>
        </w:rPr>
        <w:t>s therefore uncle</w:t>
      </w:r>
      <w:r w:rsidR="00E47860">
        <w:rPr>
          <w:rFonts w:ascii="Century Gothic" w:hAnsi="Century Gothic"/>
          <w:lang w:val="en-GB"/>
        </w:rPr>
        <w:t>ar whether early help services we</w:t>
      </w:r>
      <w:r w:rsidR="00B26D5C" w:rsidRPr="00B26D5C">
        <w:rPr>
          <w:rFonts w:ascii="Century Gothic" w:hAnsi="Century Gothic"/>
          <w:lang w:val="en-GB"/>
        </w:rPr>
        <w:t>re being commissioned effectively to best address these needs. More generally, evaluation of the overall</w:t>
      </w:r>
      <w:r w:rsidR="00E47860">
        <w:rPr>
          <w:rFonts w:ascii="Century Gothic" w:hAnsi="Century Gothic"/>
          <w:lang w:val="en-GB"/>
        </w:rPr>
        <w:t xml:space="preserve"> impact of early help services wa</w:t>
      </w:r>
      <w:r w:rsidR="00B26D5C" w:rsidRPr="00B26D5C">
        <w:rPr>
          <w:rFonts w:ascii="Century Gothic" w:hAnsi="Century Gothic"/>
          <w:lang w:val="en-GB"/>
        </w:rPr>
        <w:t>s not well developed.</w:t>
      </w:r>
    </w:p>
    <w:p w:rsidR="009B2153" w:rsidRPr="009B2153" w:rsidRDefault="009B2153" w:rsidP="009B2153">
      <w:pPr>
        <w:rPr>
          <w:rFonts w:ascii="Century Gothic" w:hAnsi="Century Gothic"/>
          <w:b/>
          <w:u w:val="single"/>
          <w:lang w:val="en-GB"/>
        </w:rPr>
      </w:pPr>
    </w:p>
    <w:p w:rsidR="001C376A" w:rsidRDefault="009B2153" w:rsidP="009B2153">
      <w:pPr>
        <w:pStyle w:val="ListParagraph"/>
        <w:numPr>
          <w:ilvl w:val="0"/>
          <w:numId w:val="1"/>
        </w:numPr>
        <w:rPr>
          <w:rFonts w:ascii="Century Gothic" w:hAnsi="Century Gothic"/>
          <w:b/>
          <w:u w:val="single"/>
          <w:lang w:val="en-GB"/>
        </w:rPr>
      </w:pPr>
      <w:r>
        <w:rPr>
          <w:rFonts w:ascii="Century Gothic" w:hAnsi="Century Gothic"/>
          <w:b/>
          <w:u w:val="single"/>
          <w:lang w:val="en-GB"/>
        </w:rPr>
        <w:t>National Context for Early Help</w:t>
      </w:r>
    </w:p>
    <w:p w:rsidR="001C376A" w:rsidRDefault="001C376A" w:rsidP="001C376A">
      <w:pPr>
        <w:rPr>
          <w:rFonts w:ascii="Century Gothic" w:hAnsi="Century Gothic"/>
          <w:b/>
          <w:u w:val="single"/>
          <w:lang w:val="en-GB"/>
        </w:rPr>
      </w:pPr>
    </w:p>
    <w:p w:rsidR="001C376A" w:rsidRDefault="001C376A" w:rsidP="001C376A">
      <w:pPr>
        <w:rPr>
          <w:rFonts w:ascii="Century Gothic" w:hAnsi="Century Gothic"/>
          <w:lang w:val="en-GB"/>
        </w:rPr>
      </w:pPr>
      <w:r w:rsidRPr="001C376A">
        <w:rPr>
          <w:rFonts w:ascii="Century Gothic" w:hAnsi="Century Gothic"/>
          <w:lang w:val="en-GB"/>
        </w:rPr>
        <w:t>Ear</w:t>
      </w:r>
      <w:r>
        <w:rPr>
          <w:rFonts w:ascii="Century Gothic" w:hAnsi="Century Gothic"/>
          <w:lang w:val="en-GB"/>
        </w:rPr>
        <w:t>ly help has been a key part of G</w:t>
      </w:r>
      <w:r w:rsidRPr="001C376A">
        <w:rPr>
          <w:rFonts w:ascii="Century Gothic" w:hAnsi="Century Gothic"/>
          <w:lang w:val="en-GB"/>
        </w:rPr>
        <w:t>overnment</w:t>
      </w:r>
      <w:r>
        <w:rPr>
          <w:rFonts w:ascii="Century Gothic" w:hAnsi="Century Gothic"/>
          <w:lang w:val="en-GB"/>
        </w:rPr>
        <w:t xml:space="preserve"> policy for a number of years.  A range of reviews have</w:t>
      </w:r>
      <w:r w:rsidR="00C77AAD">
        <w:rPr>
          <w:rFonts w:ascii="Century Gothic" w:hAnsi="Century Gothic"/>
          <w:lang w:val="en-GB"/>
        </w:rPr>
        <w:t xml:space="preserve"> been undertaken over recent</w:t>
      </w:r>
      <w:r>
        <w:rPr>
          <w:rFonts w:ascii="Century Gothic" w:hAnsi="Century Gothic"/>
          <w:lang w:val="en-GB"/>
        </w:rPr>
        <w:t xml:space="preserve"> years which have informed the way in which early help services have been developed.  These include:</w:t>
      </w:r>
    </w:p>
    <w:p w:rsidR="001C376A" w:rsidRDefault="001C376A" w:rsidP="001C376A">
      <w:pPr>
        <w:rPr>
          <w:rFonts w:ascii="Century Gothic" w:hAnsi="Century Gothic"/>
          <w:lang w:val="en-GB"/>
        </w:rPr>
      </w:pPr>
    </w:p>
    <w:p w:rsidR="00F71EFE" w:rsidRDefault="00F71EFE" w:rsidP="00F71EFE">
      <w:pPr>
        <w:spacing w:after="120"/>
        <w:rPr>
          <w:rFonts w:ascii="Century Gothic" w:hAnsi="Century Gothic"/>
          <w:szCs w:val="22"/>
        </w:rPr>
      </w:pPr>
    </w:p>
    <w:p w:rsidR="004A6E95" w:rsidRPr="00661DFB" w:rsidRDefault="004A6E95" w:rsidP="004A6E95">
      <w:pPr>
        <w:numPr>
          <w:ilvl w:val="0"/>
          <w:numId w:val="2"/>
        </w:numPr>
        <w:spacing w:after="120"/>
        <w:rPr>
          <w:rFonts w:ascii="Century Gothic" w:hAnsi="Century Gothic"/>
          <w:szCs w:val="22"/>
        </w:rPr>
      </w:pPr>
      <w:r w:rsidRPr="00661DFB">
        <w:rPr>
          <w:rFonts w:ascii="Century Gothic" w:hAnsi="Century Gothic"/>
          <w:szCs w:val="22"/>
        </w:rPr>
        <w:t>The Marmot Review – Fair Society, Healthy Lives (2010)</w:t>
      </w:r>
    </w:p>
    <w:p w:rsidR="00661DFB" w:rsidRPr="00F71EFE" w:rsidRDefault="00661DFB" w:rsidP="00661DFB">
      <w:pPr>
        <w:numPr>
          <w:ilvl w:val="0"/>
          <w:numId w:val="2"/>
        </w:numPr>
        <w:spacing w:after="120"/>
        <w:rPr>
          <w:rFonts w:ascii="Century Gothic" w:hAnsi="Century Gothic"/>
          <w:szCs w:val="22"/>
        </w:rPr>
      </w:pPr>
      <w:r w:rsidRPr="00F71EFE">
        <w:rPr>
          <w:rFonts w:ascii="Century Gothic" w:hAnsi="Century Gothic"/>
          <w:szCs w:val="22"/>
        </w:rPr>
        <w:t xml:space="preserve">Frank Field: The Foundation Years: preventing poor children becoming poor adults. Report of the Independent Review on Poverty and Life Chances. [2010] </w:t>
      </w:r>
    </w:p>
    <w:p w:rsidR="00661DFB" w:rsidRPr="00661DFB" w:rsidRDefault="00661DFB" w:rsidP="00661DFB">
      <w:pPr>
        <w:numPr>
          <w:ilvl w:val="0"/>
          <w:numId w:val="2"/>
        </w:numPr>
        <w:spacing w:after="120"/>
        <w:rPr>
          <w:rFonts w:ascii="Century Gothic" w:hAnsi="Century Gothic"/>
          <w:szCs w:val="22"/>
        </w:rPr>
      </w:pPr>
      <w:r w:rsidRPr="00661DFB">
        <w:rPr>
          <w:rFonts w:ascii="Century Gothic" w:hAnsi="Century Gothic"/>
          <w:szCs w:val="22"/>
        </w:rPr>
        <w:t xml:space="preserve">Dame </w:t>
      </w:r>
      <w:proofErr w:type="spellStart"/>
      <w:r w:rsidRPr="00661DFB">
        <w:rPr>
          <w:rFonts w:ascii="Century Gothic" w:hAnsi="Century Gothic"/>
          <w:szCs w:val="22"/>
        </w:rPr>
        <w:t>Tickell</w:t>
      </w:r>
      <w:proofErr w:type="spellEnd"/>
      <w:r w:rsidRPr="00661DFB">
        <w:rPr>
          <w:rFonts w:ascii="Century Gothic" w:hAnsi="Century Gothic"/>
          <w:szCs w:val="22"/>
        </w:rPr>
        <w:t xml:space="preserve"> Review: The Early Years: Foundation for Life, Health and Learning [2011] </w:t>
      </w:r>
    </w:p>
    <w:p w:rsidR="00661DFB" w:rsidRPr="00661DFB" w:rsidRDefault="00661DFB" w:rsidP="00661DFB">
      <w:pPr>
        <w:numPr>
          <w:ilvl w:val="0"/>
          <w:numId w:val="2"/>
        </w:numPr>
        <w:spacing w:after="120"/>
        <w:rPr>
          <w:rFonts w:ascii="Century Gothic" w:hAnsi="Century Gothic"/>
          <w:szCs w:val="22"/>
        </w:rPr>
      </w:pPr>
      <w:r w:rsidRPr="00661DFB">
        <w:rPr>
          <w:rFonts w:ascii="Century Gothic" w:hAnsi="Century Gothic"/>
          <w:szCs w:val="22"/>
        </w:rPr>
        <w:t xml:space="preserve">Graham Allen: Early Intervention: The Next Steps [January 2011] </w:t>
      </w:r>
    </w:p>
    <w:p w:rsidR="00661DFB" w:rsidRPr="00661DFB" w:rsidRDefault="00661DFB" w:rsidP="00661DFB">
      <w:pPr>
        <w:numPr>
          <w:ilvl w:val="0"/>
          <w:numId w:val="2"/>
        </w:numPr>
        <w:spacing w:after="120"/>
        <w:rPr>
          <w:rFonts w:ascii="Century Gothic" w:hAnsi="Century Gothic"/>
          <w:szCs w:val="22"/>
        </w:rPr>
      </w:pPr>
      <w:r w:rsidRPr="00661DFB">
        <w:rPr>
          <w:rFonts w:ascii="Century Gothic" w:hAnsi="Century Gothic"/>
          <w:szCs w:val="22"/>
        </w:rPr>
        <w:t xml:space="preserve">Professor Eileen Munro Review of Child Protection Final Report </w:t>
      </w:r>
      <w:r w:rsidR="00BB4171">
        <w:rPr>
          <w:rFonts w:ascii="Century Gothic" w:hAnsi="Century Gothic"/>
          <w:szCs w:val="22"/>
        </w:rPr>
        <w:t>(</w:t>
      </w:r>
      <w:r w:rsidRPr="00661DFB">
        <w:rPr>
          <w:rFonts w:ascii="Century Gothic" w:hAnsi="Century Gothic"/>
          <w:szCs w:val="22"/>
        </w:rPr>
        <w:t>May 2011</w:t>
      </w:r>
      <w:r w:rsidR="00BB4171">
        <w:rPr>
          <w:rFonts w:ascii="Century Gothic" w:hAnsi="Century Gothic"/>
          <w:szCs w:val="22"/>
        </w:rPr>
        <w:t>)</w:t>
      </w:r>
    </w:p>
    <w:p w:rsidR="001C376A" w:rsidRPr="00661DFB" w:rsidRDefault="001C376A" w:rsidP="001C376A">
      <w:pPr>
        <w:rPr>
          <w:rFonts w:ascii="Century Gothic" w:hAnsi="Century Gothic"/>
          <w:lang w:val="en-GB"/>
        </w:rPr>
      </w:pPr>
    </w:p>
    <w:p w:rsidR="00661DFB" w:rsidRDefault="001C376A" w:rsidP="001C376A">
      <w:pPr>
        <w:rPr>
          <w:rFonts w:ascii="Century Gothic" w:hAnsi="Century Gothic"/>
          <w:lang w:val="en-GB"/>
        </w:rPr>
      </w:pPr>
      <w:r>
        <w:rPr>
          <w:rFonts w:ascii="Century Gothic" w:hAnsi="Century Gothic"/>
          <w:lang w:val="en-GB"/>
        </w:rPr>
        <w:t xml:space="preserve">There is however relatively </w:t>
      </w:r>
      <w:r w:rsidR="00661DFB">
        <w:rPr>
          <w:rFonts w:ascii="Century Gothic" w:hAnsi="Century Gothic"/>
          <w:lang w:val="en-GB"/>
        </w:rPr>
        <w:t xml:space="preserve">little research into what works; the impacts </w:t>
      </w:r>
      <w:r>
        <w:rPr>
          <w:rFonts w:ascii="Century Gothic" w:hAnsi="Century Gothic"/>
          <w:lang w:val="en-GB"/>
        </w:rPr>
        <w:t>on families, budgets</w:t>
      </w:r>
      <w:r w:rsidR="00661DFB">
        <w:rPr>
          <w:rFonts w:ascii="Century Gothic" w:hAnsi="Century Gothic"/>
          <w:lang w:val="en-GB"/>
        </w:rPr>
        <w:t>, services</w:t>
      </w:r>
      <w:r>
        <w:rPr>
          <w:rFonts w:ascii="Century Gothic" w:hAnsi="Century Gothic"/>
          <w:lang w:val="en-GB"/>
        </w:rPr>
        <w:t xml:space="preserve"> and communities</w:t>
      </w:r>
      <w:proofErr w:type="gramStart"/>
      <w:r w:rsidR="00E47860">
        <w:rPr>
          <w:rFonts w:ascii="Century Gothic" w:hAnsi="Century Gothic"/>
          <w:lang w:val="en-GB"/>
        </w:rPr>
        <w:t>;</w:t>
      </w:r>
      <w:proofErr w:type="gramEnd"/>
      <w:r>
        <w:rPr>
          <w:rFonts w:ascii="Century Gothic" w:hAnsi="Century Gothic"/>
          <w:lang w:val="en-GB"/>
        </w:rPr>
        <w:t xml:space="preserve"> and how best to evaluate the impact of early help</w:t>
      </w:r>
      <w:r w:rsidR="00661DFB">
        <w:rPr>
          <w:rFonts w:ascii="Century Gothic" w:hAnsi="Century Gothic"/>
          <w:lang w:val="en-GB"/>
        </w:rPr>
        <w:t>.  The following section summarises some of the findings found.</w:t>
      </w:r>
    </w:p>
    <w:p w:rsidR="009B2153" w:rsidRPr="001C376A" w:rsidRDefault="001C376A" w:rsidP="001C376A">
      <w:pPr>
        <w:rPr>
          <w:rFonts w:ascii="Century Gothic" w:hAnsi="Century Gothic"/>
          <w:lang w:val="en-GB"/>
        </w:rPr>
      </w:pPr>
      <w:r>
        <w:rPr>
          <w:rFonts w:ascii="Century Gothic" w:hAnsi="Century Gothic"/>
          <w:lang w:val="en-GB"/>
        </w:rPr>
        <w:t xml:space="preserve"> </w:t>
      </w:r>
    </w:p>
    <w:p w:rsidR="00BB4171" w:rsidRDefault="00BB4171" w:rsidP="009B2153">
      <w:pPr>
        <w:pStyle w:val="ListParagraph"/>
        <w:numPr>
          <w:ilvl w:val="0"/>
          <w:numId w:val="1"/>
        </w:numPr>
        <w:rPr>
          <w:rFonts w:ascii="Century Gothic" w:hAnsi="Century Gothic"/>
          <w:b/>
          <w:u w:val="single"/>
          <w:lang w:val="en-GB"/>
        </w:rPr>
      </w:pPr>
      <w:r>
        <w:rPr>
          <w:rFonts w:ascii="Century Gothic" w:hAnsi="Century Gothic"/>
          <w:b/>
          <w:u w:val="single"/>
          <w:lang w:val="en-GB"/>
        </w:rPr>
        <w:t>What W</w:t>
      </w:r>
      <w:r w:rsidR="009B2153">
        <w:rPr>
          <w:rFonts w:ascii="Century Gothic" w:hAnsi="Century Gothic"/>
          <w:b/>
          <w:u w:val="single"/>
          <w:lang w:val="en-GB"/>
        </w:rPr>
        <w:t>orks?</w:t>
      </w:r>
    </w:p>
    <w:p w:rsidR="00BB4171" w:rsidRDefault="00BB4171" w:rsidP="00BB4171">
      <w:pPr>
        <w:rPr>
          <w:rFonts w:ascii="Century Gothic" w:hAnsi="Century Gothic"/>
          <w:b/>
          <w:i/>
          <w:lang w:val="en-GB"/>
        </w:rPr>
      </w:pPr>
    </w:p>
    <w:p w:rsidR="00BB4171" w:rsidRPr="00BA4023" w:rsidRDefault="001170AB" w:rsidP="00BB4171">
      <w:pPr>
        <w:rPr>
          <w:rFonts w:ascii="Century Gothic" w:hAnsi="Century Gothic"/>
          <w:b/>
          <w:i/>
          <w:lang w:val="en-GB"/>
        </w:rPr>
      </w:pPr>
      <w:r>
        <w:rPr>
          <w:rFonts w:ascii="Century Gothic" w:hAnsi="Century Gothic"/>
          <w:b/>
          <w:i/>
          <w:lang w:val="en-GB"/>
        </w:rPr>
        <w:t>Spend</w:t>
      </w:r>
    </w:p>
    <w:p w:rsidR="00BB4171" w:rsidRDefault="00BB4171" w:rsidP="00BB4171">
      <w:pPr>
        <w:rPr>
          <w:rFonts w:ascii="Century Gothic" w:hAnsi="Century Gothic"/>
          <w:b/>
          <w:i/>
          <w:lang w:val="en-GB"/>
        </w:rPr>
      </w:pPr>
    </w:p>
    <w:p w:rsidR="008466AC" w:rsidRDefault="00BB4171" w:rsidP="00BB4171">
      <w:pPr>
        <w:rPr>
          <w:rFonts w:ascii="Century Gothic" w:hAnsi="Century Gothic"/>
          <w:lang w:val="en-GB"/>
        </w:rPr>
      </w:pPr>
      <w:r>
        <w:rPr>
          <w:rFonts w:ascii="Century Gothic" w:hAnsi="Century Gothic"/>
          <w:lang w:val="en-GB"/>
        </w:rPr>
        <w:t xml:space="preserve">The Early Intervention Foundation (EIF) was launched in April 2013, to investigate and promote effective interventions and good practice.  In February 2015 it published “Spending on Late Intervention – How We Can Do Better for Less”.  In it, EIF estimate that nearly £17 billion per year is spent in England and Wales </w:t>
      </w:r>
      <w:r w:rsidRPr="001E051D">
        <w:rPr>
          <w:rFonts w:ascii="Century Gothic" w:hAnsi="Century Gothic"/>
        </w:rPr>
        <w:t>on addressing problems</w:t>
      </w:r>
      <w:r>
        <w:rPr>
          <w:rFonts w:ascii="Century Gothic" w:hAnsi="Century Gothic"/>
        </w:rPr>
        <w:t xml:space="preserve"> too late for children and young people: problems such as mental health</w:t>
      </w:r>
      <w:r w:rsidRPr="001E051D">
        <w:rPr>
          <w:rFonts w:ascii="Century Gothic" w:hAnsi="Century Gothic"/>
        </w:rPr>
        <w:t xml:space="preserve">, </w:t>
      </w:r>
      <w:r>
        <w:rPr>
          <w:rFonts w:ascii="Century Gothic" w:hAnsi="Century Gothic"/>
        </w:rPr>
        <w:t xml:space="preserve">substance misuse, school absences, </w:t>
      </w:r>
      <w:r w:rsidRPr="001E051D">
        <w:rPr>
          <w:rFonts w:ascii="Century Gothic" w:hAnsi="Century Gothic"/>
        </w:rPr>
        <w:t>un</w:t>
      </w:r>
      <w:r>
        <w:rPr>
          <w:rFonts w:ascii="Century Gothic" w:hAnsi="Century Gothic"/>
        </w:rPr>
        <w:t>employment and youth cri</w:t>
      </w:r>
      <w:r w:rsidR="00C77AAD">
        <w:rPr>
          <w:rFonts w:ascii="Century Gothic" w:hAnsi="Century Gothic"/>
        </w:rPr>
        <w:t>me. T</w:t>
      </w:r>
      <w:r>
        <w:rPr>
          <w:rFonts w:ascii="Century Gothic" w:hAnsi="Century Gothic"/>
        </w:rPr>
        <w:t>his</w:t>
      </w:r>
      <w:r w:rsidRPr="001E051D">
        <w:rPr>
          <w:rFonts w:ascii="Century Gothic" w:hAnsi="Century Gothic"/>
        </w:rPr>
        <w:t xml:space="preserve"> is only the immediate fiscal cost in a single year and although it is </w:t>
      </w:r>
      <w:r>
        <w:rPr>
          <w:rFonts w:ascii="Century Gothic" w:hAnsi="Century Gothic"/>
        </w:rPr>
        <w:t>substantial, it does not include</w:t>
      </w:r>
      <w:r w:rsidRPr="001E051D">
        <w:rPr>
          <w:rFonts w:ascii="Century Gothic" w:hAnsi="Century Gothic"/>
        </w:rPr>
        <w:t xml:space="preserve"> </w:t>
      </w:r>
      <w:r>
        <w:rPr>
          <w:rFonts w:ascii="Century Gothic" w:hAnsi="Century Gothic"/>
        </w:rPr>
        <w:t xml:space="preserve">the longer-term impact of </w:t>
      </w:r>
      <w:r w:rsidRPr="001E051D">
        <w:rPr>
          <w:rFonts w:ascii="Century Gothic" w:hAnsi="Century Gothic"/>
        </w:rPr>
        <w:t>poo</w:t>
      </w:r>
      <w:r>
        <w:rPr>
          <w:rFonts w:ascii="Century Gothic" w:hAnsi="Century Gothic"/>
        </w:rPr>
        <w:t>r outcomes</w:t>
      </w:r>
      <w:r w:rsidRPr="001E051D">
        <w:rPr>
          <w:rFonts w:ascii="Century Gothic" w:hAnsi="Century Gothic"/>
        </w:rPr>
        <w:t xml:space="preserve">, nor the wider social and economic costs. </w:t>
      </w:r>
      <w:r w:rsidR="00C77AAD">
        <w:rPr>
          <w:rFonts w:ascii="Century Gothic" w:hAnsi="Century Gothic"/>
        </w:rPr>
        <w:t xml:space="preserve">Whilst the </w:t>
      </w:r>
      <w:proofErr w:type="gramStart"/>
      <w:r w:rsidR="00C77AAD">
        <w:rPr>
          <w:rFonts w:ascii="Century Gothic" w:hAnsi="Century Gothic"/>
        </w:rPr>
        <w:t>EIF</w:t>
      </w:r>
      <w:r>
        <w:rPr>
          <w:rFonts w:ascii="Century Gothic" w:hAnsi="Century Gothic"/>
        </w:rPr>
        <w:t xml:space="preserve"> </w:t>
      </w:r>
      <w:r w:rsidR="00C77AAD">
        <w:rPr>
          <w:rFonts w:ascii="Century Gothic" w:hAnsi="Century Gothic"/>
        </w:rPr>
        <w:t xml:space="preserve"> does</w:t>
      </w:r>
      <w:proofErr w:type="gramEnd"/>
      <w:r w:rsidR="00C77AAD">
        <w:rPr>
          <w:rFonts w:ascii="Century Gothic" w:hAnsi="Century Gothic"/>
        </w:rPr>
        <w:t xml:space="preserve"> </w:t>
      </w:r>
      <w:r>
        <w:rPr>
          <w:rFonts w:ascii="Century Gothic" w:hAnsi="Century Gothic"/>
        </w:rPr>
        <w:t xml:space="preserve">not argue that all of these costs are inappropriate and could be saved , </w:t>
      </w:r>
      <w:r w:rsidR="00C77AAD">
        <w:rPr>
          <w:rFonts w:ascii="Century Gothic" w:hAnsi="Century Gothic"/>
        </w:rPr>
        <w:t>it does</w:t>
      </w:r>
      <w:r>
        <w:rPr>
          <w:rFonts w:ascii="Century Gothic" w:hAnsi="Century Gothic"/>
        </w:rPr>
        <w:t xml:space="preserve"> </w:t>
      </w:r>
      <w:r w:rsidR="00C77AAD">
        <w:rPr>
          <w:rFonts w:ascii="Century Gothic" w:hAnsi="Century Gothic"/>
        </w:rPr>
        <w:t>claim</w:t>
      </w:r>
      <w:r>
        <w:rPr>
          <w:rFonts w:ascii="Century Gothic" w:hAnsi="Century Gothic"/>
        </w:rPr>
        <w:t xml:space="preserve"> that “</w:t>
      </w:r>
      <w:r w:rsidRPr="001E051D">
        <w:rPr>
          <w:rFonts w:ascii="Century Gothic" w:hAnsi="Century Gothic"/>
          <w:i/>
        </w:rPr>
        <w:t>Late Intervention is not just expensive, it is also difficult to argue it is money spent well</w:t>
      </w:r>
      <w:r>
        <w:rPr>
          <w:rFonts w:ascii="Century Gothic" w:hAnsi="Century Gothic"/>
          <w:i/>
        </w:rPr>
        <w:t>”</w:t>
      </w:r>
      <w:r w:rsidRPr="001E051D">
        <w:rPr>
          <w:rFonts w:ascii="Century Gothic" w:hAnsi="Century Gothic"/>
          <w:i/>
        </w:rPr>
        <w:t xml:space="preserve">. </w:t>
      </w:r>
      <w:r>
        <w:rPr>
          <w:rFonts w:ascii="Century Gothic" w:hAnsi="Century Gothic"/>
          <w:lang w:val="en-GB"/>
        </w:rPr>
        <w:t>The</w:t>
      </w:r>
      <w:r w:rsidR="008466AC">
        <w:rPr>
          <w:rFonts w:ascii="Century Gothic" w:hAnsi="Century Gothic"/>
          <w:lang w:val="en-GB"/>
        </w:rPr>
        <w:t xml:space="preserve"> report provides some detailed analysis of spend across a number of areas and draws on examples of early intervention which appear to be demonstrating an impact (see next section: services).  However it also acknowledges that</w:t>
      </w:r>
      <w:r>
        <w:rPr>
          <w:rFonts w:ascii="Century Gothic" w:hAnsi="Century Gothic"/>
          <w:lang w:val="en-GB"/>
        </w:rPr>
        <w:t xml:space="preserve"> detailed bottom up spend on early inter</w:t>
      </w:r>
      <w:r w:rsidR="008466AC">
        <w:rPr>
          <w:rFonts w:ascii="Century Gothic" w:hAnsi="Century Gothic"/>
          <w:lang w:val="en-GB"/>
        </w:rPr>
        <w:t>vention has never been collated and so we are forced to extrapolate from a variety of figures.  The r</w:t>
      </w:r>
      <w:r w:rsidR="00C77AAD">
        <w:rPr>
          <w:rFonts w:ascii="Century Gothic" w:hAnsi="Century Gothic"/>
          <w:lang w:val="en-GB"/>
        </w:rPr>
        <w:t>eport concludes by proposing a</w:t>
      </w:r>
      <w:r w:rsidR="008466AC">
        <w:rPr>
          <w:rFonts w:ascii="Century Gothic" w:hAnsi="Century Gothic"/>
          <w:lang w:val="en-GB"/>
        </w:rPr>
        <w:t xml:space="preserve"> way forward.  This includes:</w:t>
      </w:r>
    </w:p>
    <w:p w:rsidR="008466AC" w:rsidRDefault="008466AC" w:rsidP="00BB4171">
      <w:pPr>
        <w:rPr>
          <w:rFonts w:ascii="Century Gothic" w:hAnsi="Century Gothic"/>
          <w:lang w:val="en-GB"/>
        </w:rPr>
      </w:pPr>
    </w:p>
    <w:p w:rsidR="008466AC" w:rsidRDefault="008466AC" w:rsidP="008466AC">
      <w:pPr>
        <w:pStyle w:val="ListParagraph"/>
        <w:numPr>
          <w:ilvl w:val="0"/>
          <w:numId w:val="5"/>
        </w:numPr>
        <w:rPr>
          <w:rFonts w:ascii="Century Gothic" w:hAnsi="Century Gothic"/>
        </w:rPr>
      </w:pPr>
      <w:r w:rsidRPr="008466AC">
        <w:rPr>
          <w:rFonts w:ascii="Century Gothic" w:hAnsi="Century Gothic"/>
        </w:rPr>
        <w:t>Policy makers</w:t>
      </w:r>
      <w:r>
        <w:rPr>
          <w:rFonts w:ascii="Century Gothic" w:hAnsi="Century Gothic"/>
        </w:rPr>
        <w:t xml:space="preserve"> </w:t>
      </w:r>
      <w:r w:rsidR="00C77AAD">
        <w:rPr>
          <w:rFonts w:ascii="Century Gothic" w:hAnsi="Century Gothic"/>
        </w:rPr>
        <w:t>prioritising</w:t>
      </w:r>
      <w:r>
        <w:rPr>
          <w:rFonts w:ascii="Century Gothic" w:hAnsi="Century Gothic"/>
        </w:rPr>
        <w:t xml:space="preserve"> early intervention spend by collating</w:t>
      </w:r>
      <w:r w:rsidRPr="008466AC">
        <w:rPr>
          <w:rFonts w:ascii="Century Gothic" w:hAnsi="Century Gothic"/>
        </w:rPr>
        <w:t xml:space="preserve"> spend on early intervention and track</w:t>
      </w:r>
      <w:r>
        <w:rPr>
          <w:rFonts w:ascii="Century Gothic" w:hAnsi="Century Gothic"/>
        </w:rPr>
        <w:t>ing</w:t>
      </w:r>
      <w:r w:rsidRPr="008466AC">
        <w:rPr>
          <w:rFonts w:ascii="Century Gothic" w:hAnsi="Century Gothic"/>
        </w:rPr>
        <w:t xml:space="preserve"> a suite of indicators</w:t>
      </w:r>
      <w:r>
        <w:rPr>
          <w:rFonts w:ascii="Century Gothic" w:hAnsi="Century Gothic"/>
        </w:rPr>
        <w:t>;</w:t>
      </w:r>
    </w:p>
    <w:p w:rsidR="008466AC" w:rsidRPr="008466AC" w:rsidRDefault="008466AC" w:rsidP="008466AC">
      <w:pPr>
        <w:rPr>
          <w:rFonts w:ascii="Century Gothic" w:hAnsi="Century Gothic"/>
        </w:rPr>
      </w:pPr>
    </w:p>
    <w:p w:rsidR="008466AC" w:rsidRDefault="008466AC" w:rsidP="008466AC">
      <w:pPr>
        <w:pStyle w:val="ListParagraph"/>
        <w:numPr>
          <w:ilvl w:val="0"/>
          <w:numId w:val="5"/>
        </w:numPr>
        <w:rPr>
          <w:rFonts w:ascii="Century Gothic" w:hAnsi="Century Gothic"/>
        </w:rPr>
      </w:pPr>
      <w:r>
        <w:rPr>
          <w:rFonts w:ascii="Century Gothic" w:hAnsi="Century Gothic"/>
        </w:rPr>
        <w:t>Ensuring that local agencies pool budgets and share information.  Health and Wellbeing Board</w:t>
      </w:r>
      <w:r w:rsidR="00C77AAD">
        <w:rPr>
          <w:rFonts w:ascii="Century Gothic" w:hAnsi="Century Gothic"/>
        </w:rPr>
        <w:t>s</w:t>
      </w:r>
      <w:r>
        <w:rPr>
          <w:rFonts w:ascii="Century Gothic" w:hAnsi="Century Gothic"/>
        </w:rPr>
        <w:t xml:space="preserve"> provide an important focus for this work;</w:t>
      </w:r>
    </w:p>
    <w:p w:rsidR="008466AC" w:rsidRPr="008466AC" w:rsidRDefault="008466AC" w:rsidP="008466AC">
      <w:pPr>
        <w:rPr>
          <w:rFonts w:ascii="Century Gothic" w:hAnsi="Century Gothic"/>
        </w:rPr>
      </w:pPr>
    </w:p>
    <w:p w:rsidR="00C60237" w:rsidRDefault="008466AC" w:rsidP="008466AC">
      <w:pPr>
        <w:pStyle w:val="ListParagraph"/>
        <w:numPr>
          <w:ilvl w:val="0"/>
          <w:numId w:val="5"/>
        </w:numPr>
        <w:rPr>
          <w:rFonts w:ascii="Century Gothic" w:hAnsi="Century Gothic"/>
        </w:rPr>
      </w:pPr>
      <w:r>
        <w:rPr>
          <w:rFonts w:ascii="Century Gothic" w:hAnsi="Century Gothic"/>
        </w:rPr>
        <w:t>Putting the early intervention agenda at the heart of government.  The argument being that: if we are really committed to reducing the fiscal deficit for adults of the future, then we must also reduce the social problems that they are likely to experience.</w:t>
      </w:r>
    </w:p>
    <w:p w:rsidR="00C60237" w:rsidRPr="00C60237" w:rsidRDefault="00C60237" w:rsidP="00C60237">
      <w:pPr>
        <w:rPr>
          <w:rFonts w:ascii="Century Gothic" w:hAnsi="Century Gothic"/>
        </w:rPr>
      </w:pPr>
    </w:p>
    <w:p w:rsidR="00C60237" w:rsidRDefault="00C60237" w:rsidP="00C60237">
      <w:pPr>
        <w:rPr>
          <w:rFonts w:ascii="Century Gothic" w:hAnsi="Century Gothic"/>
        </w:rPr>
      </w:pPr>
    </w:p>
    <w:p w:rsidR="00842539" w:rsidRDefault="00C60237" w:rsidP="00C60237">
      <w:pPr>
        <w:rPr>
          <w:rFonts w:ascii="Century Gothic" w:hAnsi="Century Gothic"/>
        </w:rPr>
      </w:pPr>
      <w:r>
        <w:rPr>
          <w:rFonts w:ascii="Century Gothic" w:hAnsi="Century Gothic"/>
        </w:rPr>
        <w:t xml:space="preserve">In “Pillar and Foundations – Next Practice in children’s Services”, a paper presented to the ADCS in 2015, Richard Selwyn states that the business case for early intervention is broken.  </w:t>
      </w:r>
      <w:r w:rsidRPr="00C60237">
        <w:rPr>
          <w:rFonts w:ascii="Century Gothic" w:hAnsi="Century Gothic"/>
          <w:i/>
        </w:rPr>
        <w:t>“Every time we intervene early we are making the assumption that the individual will require more expensive services in the future, but this is often untrue”</w:t>
      </w:r>
      <w:r>
        <w:rPr>
          <w:rFonts w:ascii="Century Gothic" w:hAnsi="Century Gothic"/>
          <w:i/>
        </w:rPr>
        <w:t xml:space="preserve">.  </w:t>
      </w:r>
      <w:r>
        <w:rPr>
          <w:rFonts w:ascii="Century Gothic" w:hAnsi="Century Gothic"/>
        </w:rPr>
        <w:t xml:space="preserve">He argues that </w:t>
      </w:r>
      <w:r w:rsidR="00842539">
        <w:rPr>
          <w:rFonts w:ascii="Century Gothic" w:hAnsi="Century Gothic"/>
        </w:rPr>
        <w:t>the commissioning challenge is t</w:t>
      </w:r>
      <w:r>
        <w:rPr>
          <w:rFonts w:ascii="Century Gothic" w:hAnsi="Century Gothic"/>
        </w:rPr>
        <w:t xml:space="preserve">o ensure cheaper early </w:t>
      </w:r>
      <w:proofErr w:type="gramStart"/>
      <w:r>
        <w:rPr>
          <w:rFonts w:ascii="Century Gothic" w:hAnsi="Century Gothic"/>
        </w:rPr>
        <w:t>help which</w:t>
      </w:r>
      <w:proofErr w:type="gramEnd"/>
      <w:r>
        <w:rPr>
          <w:rFonts w:ascii="Century Gothic" w:hAnsi="Century Gothic"/>
        </w:rPr>
        <w:t xml:space="preserve"> reduces demand on statutory services.  In order to achieve this, he argues that we must begin to formally use</w:t>
      </w:r>
      <w:r w:rsidR="003B2F50">
        <w:rPr>
          <w:rFonts w:ascii="Century Gothic" w:hAnsi="Century Gothic"/>
        </w:rPr>
        <w:t xml:space="preserve"> four pillars</w:t>
      </w:r>
      <w:r w:rsidR="00842539">
        <w:rPr>
          <w:rFonts w:ascii="Century Gothic" w:hAnsi="Century Gothic"/>
        </w:rPr>
        <w:t>:</w:t>
      </w:r>
    </w:p>
    <w:p w:rsidR="00842539" w:rsidRDefault="00842539" w:rsidP="00C60237">
      <w:pPr>
        <w:rPr>
          <w:rFonts w:ascii="Century Gothic" w:hAnsi="Century Gothic"/>
        </w:rPr>
      </w:pPr>
    </w:p>
    <w:p w:rsidR="00842539" w:rsidRDefault="00842539" w:rsidP="00842539">
      <w:pPr>
        <w:pStyle w:val="ListParagraph"/>
        <w:numPr>
          <w:ilvl w:val="0"/>
          <w:numId w:val="7"/>
        </w:numPr>
        <w:rPr>
          <w:rFonts w:ascii="Century Gothic" w:hAnsi="Century Gothic"/>
        </w:rPr>
      </w:pPr>
      <w:r>
        <w:rPr>
          <w:rFonts w:ascii="Century Gothic" w:hAnsi="Century Gothic"/>
        </w:rPr>
        <w:t>C</w:t>
      </w:r>
      <w:r w:rsidR="00C60237" w:rsidRPr="00842539">
        <w:rPr>
          <w:rFonts w:ascii="Century Gothic" w:hAnsi="Century Gothic"/>
        </w:rPr>
        <w:t xml:space="preserve">ommunity resources and the support that </w:t>
      </w:r>
      <w:r>
        <w:rPr>
          <w:rFonts w:ascii="Century Gothic" w:hAnsi="Century Gothic"/>
        </w:rPr>
        <w:t xml:space="preserve">families provide to each other.  This is sometimes referred to as </w:t>
      </w:r>
      <w:r w:rsidR="00C60237" w:rsidRPr="00842539">
        <w:rPr>
          <w:rFonts w:ascii="Century Gothic" w:hAnsi="Century Gothic"/>
        </w:rPr>
        <w:t>community</w:t>
      </w:r>
      <w:r>
        <w:rPr>
          <w:rFonts w:ascii="Century Gothic" w:hAnsi="Century Gothic"/>
        </w:rPr>
        <w:t xml:space="preserve"> resilience or social capital, </w:t>
      </w:r>
      <w:r w:rsidR="00C60237" w:rsidRPr="00842539">
        <w:rPr>
          <w:rFonts w:ascii="Century Gothic" w:hAnsi="Century Gothic"/>
        </w:rPr>
        <w:t xml:space="preserve">i.e. the </w:t>
      </w:r>
      <w:r w:rsidRPr="00842539">
        <w:rPr>
          <w:rFonts w:ascii="Century Gothic" w:hAnsi="Century Gothic"/>
        </w:rPr>
        <w:t>collective value of social networks.</w:t>
      </w:r>
    </w:p>
    <w:p w:rsidR="00842539" w:rsidRPr="00842539" w:rsidRDefault="00842539" w:rsidP="00842539">
      <w:pPr>
        <w:rPr>
          <w:rFonts w:ascii="Century Gothic" w:hAnsi="Century Gothic"/>
        </w:rPr>
      </w:pPr>
    </w:p>
    <w:p w:rsidR="00842539" w:rsidRDefault="00842539" w:rsidP="00842539">
      <w:pPr>
        <w:pStyle w:val="ListParagraph"/>
        <w:numPr>
          <w:ilvl w:val="0"/>
          <w:numId w:val="7"/>
        </w:numPr>
        <w:rPr>
          <w:rFonts w:ascii="Century Gothic" w:hAnsi="Century Gothic"/>
        </w:rPr>
      </w:pPr>
      <w:r>
        <w:rPr>
          <w:rFonts w:ascii="Century Gothic" w:hAnsi="Century Gothic"/>
        </w:rPr>
        <w:t>A universal plus model, i.e. universal services providing more targeted support.</w:t>
      </w:r>
    </w:p>
    <w:p w:rsidR="00842539" w:rsidRPr="00842539" w:rsidRDefault="00842539" w:rsidP="00842539">
      <w:pPr>
        <w:rPr>
          <w:rFonts w:ascii="Century Gothic" w:hAnsi="Century Gothic"/>
        </w:rPr>
      </w:pPr>
    </w:p>
    <w:p w:rsidR="00842539" w:rsidRDefault="00842539" w:rsidP="00842539">
      <w:pPr>
        <w:pStyle w:val="ListParagraph"/>
        <w:numPr>
          <w:ilvl w:val="0"/>
          <w:numId w:val="7"/>
        </w:numPr>
        <w:rPr>
          <w:rFonts w:ascii="Century Gothic" w:hAnsi="Century Gothic"/>
        </w:rPr>
      </w:pPr>
      <w:r>
        <w:rPr>
          <w:rFonts w:ascii="Century Gothic" w:hAnsi="Century Gothic"/>
        </w:rPr>
        <w:t>New online provision (particularly as the physical presence of support becomes increasingly prohibitive.</w:t>
      </w:r>
    </w:p>
    <w:p w:rsidR="00842539" w:rsidRPr="00842539" w:rsidRDefault="00842539" w:rsidP="00842539">
      <w:pPr>
        <w:rPr>
          <w:rFonts w:ascii="Century Gothic" w:hAnsi="Century Gothic"/>
        </w:rPr>
      </w:pPr>
    </w:p>
    <w:p w:rsidR="00585C3A" w:rsidRDefault="00842539" w:rsidP="00842539">
      <w:pPr>
        <w:pStyle w:val="ListParagraph"/>
        <w:numPr>
          <w:ilvl w:val="0"/>
          <w:numId w:val="7"/>
        </w:numPr>
        <w:rPr>
          <w:rFonts w:ascii="Century Gothic" w:hAnsi="Century Gothic"/>
        </w:rPr>
      </w:pPr>
      <w:r>
        <w:rPr>
          <w:rFonts w:ascii="Century Gothic" w:hAnsi="Century Gothic"/>
        </w:rPr>
        <w:t xml:space="preserve">New systems thinking and predictive modeling to identify </w:t>
      </w:r>
      <w:r w:rsidR="003B2F50">
        <w:rPr>
          <w:rFonts w:ascii="Century Gothic" w:hAnsi="Century Gothic"/>
        </w:rPr>
        <w:t xml:space="preserve">families to help and the impact, drawing upon </w:t>
      </w:r>
      <w:proofErr w:type="spellStart"/>
      <w:r w:rsidR="003B2F50">
        <w:rPr>
          <w:rFonts w:ascii="Century Gothic" w:hAnsi="Century Gothic"/>
        </w:rPr>
        <w:t>behavioural</w:t>
      </w:r>
      <w:proofErr w:type="spellEnd"/>
      <w:r w:rsidR="003B2F50">
        <w:rPr>
          <w:rFonts w:ascii="Century Gothic" w:hAnsi="Century Gothic"/>
        </w:rPr>
        <w:t xml:space="preserve"> economics and demand data.</w:t>
      </w:r>
    </w:p>
    <w:p w:rsidR="00585C3A" w:rsidRPr="00585C3A" w:rsidRDefault="00585C3A" w:rsidP="00585C3A">
      <w:pPr>
        <w:rPr>
          <w:rFonts w:ascii="Century Gothic" w:hAnsi="Century Gothic"/>
        </w:rPr>
      </w:pPr>
    </w:p>
    <w:p w:rsidR="003B2F50" w:rsidRDefault="00585C3A" w:rsidP="00585C3A">
      <w:pPr>
        <w:rPr>
          <w:rFonts w:ascii="Century Gothic" w:hAnsi="Century Gothic"/>
        </w:rPr>
      </w:pPr>
      <w:r>
        <w:rPr>
          <w:rFonts w:ascii="Century Gothic" w:hAnsi="Century Gothic"/>
        </w:rPr>
        <w:t>Selwyn concludes by acknowledging that we are in the middle of the greatest cuts to services since the Second World War but demand is growing</w:t>
      </w:r>
      <w:r w:rsidR="003B2F50">
        <w:rPr>
          <w:rFonts w:ascii="Century Gothic" w:hAnsi="Century Gothic"/>
        </w:rPr>
        <w:t xml:space="preserve"> and in the future he believes that children’s services will be built on proactive engagement with families rather than reactive.</w:t>
      </w:r>
    </w:p>
    <w:p w:rsidR="003B2F50" w:rsidRDefault="003B2F50" w:rsidP="00585C3A">
      <w:pPr>
        <w:rPr>
          <w:rFonts w:ascii="Century Gothic" w:hAnsi="Century Gothic"/>
        </w:rPr>
      </w:pPr>
    </w:p>
    <w:p w:rsidR="00BB4171" w:rsidRPr="00585C3A" w:rsidRDefault="003B2F50" w:rsidP="00585C3A">
      <w:pPr>
        <w:rPr>
          <w:rFonts w:ascii="Century Gothic" w:hAnsi="Century Gothic"/>
        </w:rPr>
      </w:pPr>
      <w:r>
        <w:rPr>
          <w:rFonts w:ascii="Century Gothic" w:hAnsi="Century Gothic"/>
        </w:rPr>
        <w:t>In “The Inflection Point” (2015) iMpower argues that we have reached an “inflection point” in the development of local government in the UK: everyone is expecting further cuts and many are starting to implement new approaches, with budgets around these new models.  They therefore suggest that the next six months will be critical as we see a different form of local government emerging.  They argue that a range of methods will be needed for success and one of these is “demand focused transformation”</w:t>
      </w:r>
    </w:p>
    <w:p w:rsidR="00FB1D87" w:rsidRDefault="00FB1D87" w:rsidP="00BB4171">
      <w:pPr>
        <w:rPr>
          <w:rFonts w:ascii="Century Gothic" w:hAnsi="Century Gothic"/>
          <w:b/>
          <w:i/>
          <w:lang w:val="en-GB"/>
        </w:rPr>
      </w:pPr>
    </w:p>
    <w:p w:rsidR="00FB1D87" w:rsidRDefault="00FB1D87" w:rsidP="00BB4171">
      <w:pPr>
        <w:rPr>
          <w:rFonts w:ascii="Century Gothic" w:hAnsi="Century Gothic"/>
          <w:b/>
          <w:i/>
          <w:lang w:val="en-GB"/>
        </w:rPr>
      </w:pPr>
    </w:p>
    <w:p w:rsidR="00FB1D87" w:rsidRDefault="00FB1D87" w:rsidP="00BB4171">
      <w:pPr>
        <w:rPr>
          <w:rFonts w:ascii="Century Gothic" w:hAnsi="Century Gothic"/>
          <w:b/>
          <w:i/>
          <w:lang w:val="en-GB"/>
        </w:rPr>
      </w:pPr>
    </w:p>
    <w:p w:rsidR="001170AB" w:rsidRDefault="001170AB" w:rsidP="00BB4171">
      <w:pPr>
        <w:rPr>
          <w:rFonts w:ascii="Century Gothic" w:hAnsi="Century Gothic"/>
          <w:b/>
          <w:i/>
          <w:lang w:val="en-GB"/>
        </w:rPr>
      </w:pPr>
    </w:p>
    <w:p w:rsidR="00BB4171" w:rsidRDefault="00BB4171" w:rsidP="00BB4171">
      <w:pPr>
        <w:rPr>
          <w:rFonts w:ascii="Century Gothic" w:hAnsi="Century Gothic"/>
          <w:b/>
          <w:i/>
          <w:lang w:val="en-GB"/>
        </w:rPr>
      </w:pPr>
      <w:r w:rsidRPr="00BA4023">
        <w:rPr>
          <w:rFonts w:ascii="Century Gothic" w:hAnsi="Century Gothic"/>
          <w:b/>
          <w:i/>
          <w:lang w:val="en-GB"/>
        </w:rPr>
        <w:t>Services</w:t>
      </w:r>
    </w:p>
    <w:p w:rsidR="00BB4171" w:rsidRDefault="00BB4171" w:rsidP="00BB4171">
      <w:pPr>
        <w:rPr>
          <w:rFonts w:ascii="Century Gothic" w:hAnsi="Century Gothic"/>
          <w:lang w:val="en-GB"/>
        </w:rPr>
      </w:pPr>
    </w:p>
    <w:p w:rsidR="00BB4171" w:rsidRDefault="00BB4171" w:rsidP="00BB4171">
      <w:pPr>
        <w:rPr>
          <w:rFonts w:ascii="Century Gothic" w:hAnsi="Century Gothic"/>
        </w:rPr>
      </w:pPr>
      <w:r>
        <w:rPr>
          <w:rFonts w:ascii="Century Gothic" w:hAnsi="Century Gothic"/>
        </w:rPr>
        <w:t>The EIF works closely with 20 Early Intervention “Pioneering Places” across the country and has reviewed hundreds of early intervention programmes.  From this work, the EIF asserts that providing Early Intervention in a local area requires:</w:t>
      </w:r>
    </w:p>
    <w:p w:rsidR="00BB4171" w:rsidRDefault="00BB4171" w:rsidP="00BB4171">
      <w:pPr>
        <w:rPr>
          <w:rFonts w:ascii="Century Gothic" w:hAnsi="Century Gothic"/>
        </w:rPr>
      </w:pP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 xml:space="preserve">Commitment across relevant partner agencies, who need to join forces to deliver a more joined up approach and prevent duplication; </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 xml:space="preserve">Strong and careful commissioning, which includes </w:t>
      </w:r>
      <w:r w:rsidR="00C77AAD">
        <w:rPr>
          <w:rFonts w:ascii="Century Gothic" w:hAnsi="Century Gothic"/>
          <w:lang w:val="en-GB"/>
        </w:rPr>
        <w:t xml:space="preserve">high quality implementation; </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 xml:space="preserve">Success also relies heavily on the skills of frontline </w:t>
      </w:r>
      <w:r w:rsidR="00C77AAD">
        <w:rPr>
          <w:rFonts w:ascii="Century Gothic" w:hAnsi="Century Gothic"/>
          <w:lang w:val="en-GB"/>
        </w:rPr>
        <w:t>practitioners</w:t>
      </w:r>
      <w:r>
        <w:rPr>
          <w:rFonts w:ascii="Century Gothic" w:hAnsi="Century Gothic"/>
          <w:lang w:val="en-GB"/>
        </w:rPr>
        <w:t xml:space="preserve"> to bui</w:t>
      </w:r>
      <w:r w:rsidR="00C77AAD">
        <w:rPr>
          <w:rFonts w:ascii="Century Gothic" w:hAnsi="Century Gothic"/>
          <w:lang w:val="en-GB"/>
        </w:rPr>
        <w:t>ld relationships with families, i</w:t>
      </w:r>
      <w:r>
        <w:rPr>
          <w:rFonts w:ascii="Century Gothic" w:hAnsi="Century Gothic"/>
          <w:lang w:val="en-GB"/>
        </w:rPr>
        <w:t>dentifying need and pr</w:t>
      </w:r>
      <w:r w:rsidR="00C77AAD">
        <w:rPr>
          <w:rFonts w:ascii="Century Gothic" w:hAnsi="Century Gothic"/>
          <w:lang w:val="en-GB"/>
        </w:rPr>
        <w:t>oviding support and opportunity; and</w:t>
      </w:r>
    </w:p>
    <w:p w:rsidR="00BB4171" w:rsidRDefault="00BB4171" w:rsidP="00BB4171">
      <w:pPr>
        <w:pStyle w:val="ListParagraph"/>
        <w:numPr>
          <w:ilvl w:val="0"/>
          <w:numId w:val="4"/>
        </w:numPr>
        <w:rPr>
          <w:rFonts w:ascii="Century Gothic" w:hAnsi="Century Gothic"/>
          <w:lang w:val="en-GB"/>
        </w:rPr>
      </w:pPr>
      <w:proofErr w:type="gramStart"/>
      <w:r>
        <w:rPr>
          <w:rFonts w:ascii="Century Gothic" w:hAnsi="Century Gothic"/>
          <w:lang w:val="en-GB"/>
        </w:rPr>
        <w:t>Effective systems for identifying individuals and families with problems, working out what help is</w:t>
      </w:r>
      <w:proofErr w:type="gramEnd"/>
      <w:r>
        <w:rPr>
          <w:rFonts w:ascii="Century Gothic" w:hAnsi="Century Gothic"/>
          <w:lang w:val="en-GB"/>
        </w:rPr>
        <w:t xml:space="preserve"> needed and bringing together different services to reduce demand</w:t>
      </w:r>
      <w:r w:rsidR="00C77AAD">
        <w:rPr>
          <w:rFonts w:ascii="Century Gothic" w:hAnsi="Century Gothic"/>
          <w:lang w:val="en-GB"/>
        </w:rPr>
        <w:t>.</w:t>
      </w:r>
    </w:p>
    <w:p w:rsidR="00BB4171" w:rsidRDefault="00BB4171" w:rsidP="00BB4171">
      <w:pPr>
        <w:rPr>
          <w:rFonts w:ascii="Century Gothic" w:hAnsi="Century Gothic"/>
          <w:lang w:val="en-GB"/>
        </w:rPr>
      </w:pPr>
    </w:p>
    <w:p w:rsidR="00BB4171" w:rsidRDefault="00BB4171" w:rsidP="00BB4171">
      <w:pPr>
        <w:rPr>
          <w:rFonts w:ascii="Century Gothic" w:hAnsi="Century Gothic"/>
          <w:lang w:val="en-GB"/>
        </w:rPr>
      </w:pPr>
      <w:r>
        <w:rPr>
          <w:rFonts w:ascii="Century Gothic" w:hAnsi="Century Gothic"/>
          <w:lang w:val="en-GB"/>
        </w:rPr>
        <w:t>The EIF has an online Early Intervention Guidebook that provides information and evidence from 50 programmes aimed at delivering better outcomes for children.  These are grouped under the following outcomes:</w:t>
      </w:r>
    </w:p>
    <w:p w:rsidR="00BB4171" w:rsidRDefault="00BB4171" w:rsidP="00BB4171">
      <w:pPr>
        <w:rPr>
          <w:rFonts w:ascii="Century Gothic" w:hAnsi="Century Gothic"/>
          <w:lang w:val="en-GB"/>
        </w:rPr>
      </w:pP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The Family and the Home;</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Positive Early Child Development;</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Children’s Mental Health and Wellbeing;</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Preventing Child Maltreatment;</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Enhancing School Achievement and Employment;</w:t>
      </w:r>
    </w:p>
    <w:p w:rsidR="00BB4171" w:rsidRDefault="00BB4171" w:rsidP="00BB4171">
      <w:pPr>
        <w:pStyle w:val="ListParagraph"/>
        <w:numPr>
          <w:ilvl w:val="0"/>
          <w:numId w:val="4"/>
        </w:numPr>
        <w:rPr>
          <w:rFonts w:ascii="Century Gothic" w:hAnsi="Century Gothic"/>
          <w:lang w:val="en-GB"/>
        </w:rPr>
      </w:pPr>
      <w:r>
        <w:rPr>
          <w:rFonts w:ascii="Century Gothic" w:hAnsi="Century Gothic"/>
          <w:lang w:val="en-GB"/>
        </w:rPr>
        <w:t>Preventing Risky Sexual Behaviour and Teen Pregnancy; and</w:t>
      </w:r>
    </w:p>
    <w:p w:rsidR="00BB4171" w:rsidRPr="00C23ED8" w:rsidRDefault="00BB4171" w:rsidP="00BB4171">
      <w:pPr>
        <w:pStyle w:val="ListParagraph"/>
        <w:numPr>
          <w:ilvl w:val="0"/>
          <w:numId w:val="4"/>
        </w:numPr>
        <w:rPr>
          <w:rFonts w:ascii="Century Gothic" w:hAnsi="Century Gothic"/>
          <w:lang w:val="en-GB"/>
        </w:rPr>
      </w:pPr>
      <w:r>
        <w:rPr>
          <w:rFonts w:ascii="Century Gothic" w:hAnsi="Century Gothic"/>
          <w:lang w:val="en-GB"/>
        </w:rPr>
        <w:t>Preventing Obesity and Promoting Health and Physical Development</w:t>
      </w:r>
    </w:p>
    <w:p w:rsidR="00BB4171" w:rsidRDefault="00BB4171" w:rsidP="00BB4171">
      <w:pPr>
        <w:rPr>
          <w:rFonts w:ascii="Century Gothic" w:hAnsi="Century Gothic"/>
          <w:lang w:val="en-GB"/>
        </w:rPr>
      </w:pPr>
      <w:r>
        <w:rPr>
          <w:rFonts w:ascii="Century Gothic" w:hAnsi="Century Gothic"/>
          <w:lang w:val="en-GB"/>
        </w:rPr>
        <w:t>(</w:t>
      </w:r>
      <w:hyperlink r:id="rId5" w:history="1">
        <w:r w:rsidRPr="007150B3">
          <w:rPr>
            <w:rStyle w:val="Hyperlink"/>
            <w:rFonts w:ascii="Century Gothic" w:hAnsi="Century Gothic"/>
            <w:lang w:val="en-GB"/>
          </w:rPr>
          <w:t>http://guidebook.eif.org.uk/programmes-library</w:t>
        </w:r>
      </w:hyperlink>
      <w:r>
        <w:rPr>
          <w:rFonts w:ascii="Century Gothic" w:hAnsi="Century Gothic"/>
          <w:lang w:val="en-GB"/>
        </w:rPr>
        <w:t>)</w:t>
      </w:r>
    </w:p>
    <w:p w:rsidR="00BB4171" w:rsidRDefault="00BB4171" w:rsidP="00BB4171">
      <w:pPr>
        <w:rPr>
          <w:rFonts w:ascii="Century Gothic" w:hAnsi="Century Gothic"/>
          <w:lang w:val="en-GB"/>
        </w:rPr>
      </w:pPr>
    </w:p>
    <w:p w:rsidR="001170AB" w:rsidRDefault="00BB4171" w:rsidP="001170AB">
      <w:pPr>
        <w:rPr>
          <w:rFonts w:ascii="Century Gothic" w:hAnsi="Century Gothic"/>
          <w:lang w:val="en-GB"/>
        </w:rPr>
      </w:pPr>
      <w:r>
        <w:rPr>
          <w:rFonts w:ascii="Century Gothic" w:hAnsi="Century Gothic"/>
          <w:lang w:val="en-GB"/>
        </w:rPr>
        <w:t xml:space="preserve">In “Spending on Late Intervention – How We Can Do Better for Less”, the EIF singles out two examples of programmes, which have demonstrated strong impacts:  </w:t>
      </w:r>
      <w:r w:rsidRPr="00C23ED8">
        <w:rPr>
          <w:rFonts w:ascii="Century Gothic" w:hAnsi="Century Gothic"/>
          <w:i/>
          <w:lang w:val="en-GB"/>
        </w:rPr>
        <w:t xml:space="preserve">The </w:t>
      </w:r>
      <w:r>
        <w:rPr>
          <w:rFonts w:ascii="Century Gothic" w:hAnsi="Century Gothic"/>
          <w:i/>
          <w:lang w:val="en-GB"/>
        </w:rPr>
        <w:t xml:space="preserve">Incredible Years Programme </w:t>
      </w:r>
      <w:r>
        <w:rPr>
          <w:rFonts w:ascii="Century Gothic" w:hAnsi="Century Gothic"/>
          <w:lang w:val="en-GB"/>
        </w:rPr>
        <w:t xml:space="preserve">and </w:t>
      </w:r>
      <w:r>
        <w:rPr>
          <w:rFonts w:ascii="Century Gothic" w:hAnsi="Century Gothic"/>
          <w:i/>
          <w:lang w:val="en-GB"/>
        </w:rPr>
        <w:t>Multi-systemic Therapy (MST).</w:t>
      </w:r>
      <w:r>
        <w:rPr>
          <w:rFonts w:ascii="Century Gothic" w:hAnsi="Century Gothic"/>
          <w:lang w:val="en-GB"/>
        </w:rPr>
        <w:t xml:space="preserve"> </w:t>
      </w:r>
    </w:p>
    <w:p w:rsidR="001170AB" w:rsidRDefault="001170AB" w:rsidP="001170AB">
      <w:pPr>
        <w:rPr>
          <w:rFonts w:ascii="Century Gothic" w:hAnsi="Century Gothic"/>
          <w:lang w:val="en-GB"/>
        </w:rPr>
      </w:pPr>
    </w:p>
    <w:p w:rsidR="001170AB" w:rsidRDefault="001170AB" w:rsidP="001170AB">
      <w:pPr>
        <w:rPr>
          <w:rFonts w:ascii="Century Gothic" w:hAnsi="Century Gothic"/>
          <w:i/>
          <w:iCs/>
        </w:rPr>
      </w:pPr>
      <w:r w:rsidRPr="001170AB">
        <w:rPr>
          <w:rFonts w:ascii="Century Gothic" w:hAnsi="Century Gothic"/>
        </w:rPr>
        <w:t>An Incredible Years parenting programme with children diagnosed with disrupted behaviour costs an average of £1,344 over a six-month period to improve a child’s behaviour. Without intervention, it is estimated that an individual with conduct disorder costs an additional £60,000 to the public services by the age of 28. (</w:t>
      </w:r>
      <w:r w:rsidRPr="001170AB">
        <w:rPr>
          <w:rFonts w:ascii="Century Gothic" w:hAnsi="Century Gothic"/>
          <w:i/>
          <w:iCs/>
        </w:rPr>
        <w:t>Early Intervention: Securing Good Outcomes for all Children and Young People, 2010)</w:t>
      </w:r>
      <w:r>
        <w:rPr>
          <w:rFonts w:ascii="Century Gothic" w:hAnsi="Century Gothic"/>
          <w:i/>
          <w:iCs/>
        </w:rPr>
        <w:t>.</w:t>
      </w:r>
    </w:p>
    <w:p w:rsidR="001170AB" w:rsidRDefault="001170AB" w:rsidP="001170AB">
      <w:pPr>
        <w:rPr>
          <w:rFonts w:ascii="Century Gothic" w:hAnsi="Century Gothic"/>
          <w:i/>
          <w:iCs/>
        </w:rPr>
      </w:pPr>
    </w:p>
    <w:p w:rsidR="001170AB" w:rsidRDefault="001170AB" w:rsidP="001170AB">
      <w:pPr>
        <w:rPr>
          <w:rFonts w:ascii="Century Gothic" w:hAnsi="Century Gothic"/>
          <w:i/>
          <w:iCs/>
        </w:rPr>
      </w:pPr>
      <w:r>
        <w:rPr>
          <w:rFonts w:ascii="Century Gothic" w:hAnsi="Century Gothic"/>
          <w:i/>
          <w:iCs/>
        </w:rPr>
        <w:t>T</w:t>
      </w:r>
      <w:r w:rsidRPr="00744F9C">
        <w:rPr>
          <w:rFonts w:ascii="Century Gothic" w:hAnsi="Century Gothic"/>
        </w:rPr>
        <w:t xml:space="preserve">he cost of prematurely excluding a child is £300,000 which includes the costs from educating the child elsewhere and the bill for deploying services such as social care, benefits, and the probation service. The estimated cost to the individual ranges from a reduced chance of securing stable employment, to the risk of getting involved in substance abuse with the associated costs of support. </w:t>
      </w:r>
      <w:r w:rsidRPr="00744F9C">
        <w:rPr>
          <w:rFonts w:ascii="Century Gothic" w:hAnsi="Century Gothic"/>
          <w:i/>
          <w:iCs/>
        </w:rPr>
        <w:t>(The National Behaviou</w:t>
      </w:r>
      <w:r w:rsidR="00D64FEC">
        <w:rPr>
          <w:rFonts w:ascii="Century Gothic" w:hAnsi="Century Gothic"/>
          <w:i/>
          <w:iCs/>
        </w:rPr>
        <w:t xml:space="preserve">r and Attendance Review, </w:t>
      </w:r>
      <w:r w:rsidRPr="00744F9C">
        <w:rPr>
          <w:rFonts w:ascii="Century Gothic" w:hAnsi="Century Gothic"/>
          <w:i/>
          <w:iCs/>
        </w:rPr>
        <w:t xml:space="preserve">Report 2007) </w:t>
      </w:r>
    </w:p>
    <w:p w:rsidR="001170AB" w:rsidRDefault="001170AB" w:rsidP="001170AB">
      <w:pPr>
        <w:rPr>
          <w:rFonts w:ascii="Century Gothic" w:hAnsi="Century Gothic"/>
          <w:i/>
          <w:iCs/>
        </w:rPr>
      </w:pPr>
    </w:p>
    <w:p w:rsidR="001170AB" w:rsidRPr="001170AB" w:rsidRDefault="001170AB" w:rsidP="001170AB">
      <w:pPr>
        <w:rPr>
          <w:rFonts w:ascii="Century Gothic" w:hAnsi="Century Gothic"/>
          <w:lang w:val="en-GB"/>
        </w:rPr>
      </w:pPr>
      <w:r w:rsidRPr="00744F9C">
        <w:rPr>
          <w:rFonts w:ascii="Century Gothic" w:hAnsi="Century Gothic"/>
        </w:rPr>
        <w:t>CAF episodes are leading to better outcomes in response t</w:t>
      </w:r>
      <w:r w:rsidR="00FB1D87">
        <w:rPr>
          <w:rFonts w:ascii="Century Gothic" w:hAnsi="Century Gothic"/>
        </w:rPr>
        <w:t>o a whole range of needs. A</w:t>
      </w:r>
      <w:r w:rsidRPr="00744F9C">
        <w:rPr>
          <w:rFonts w:ascii="Century Gothic" w:hAnsi="Century Gothic"/>
        </w:rPr>
        <w:t>nalysis</w:t>
      </w:r>
      <w:r>
        <w:rPr>
          <w:rFonts w:ascii="Century Gothic" w:hAnsi="Century Gothic"/>
        </w:rPr>
        <w:t xml:space="preserve"> from 80 case studies identified</w:t>
      </w:r>
      <w:r w:rsidRPr="00744F9C">
        <w:rPr>
          <w:rFonts w:ascii="Century Gothic" w:hAnsi="Century Gothic"/>
        </w:rPr>
        <w:t xml:space="preserve"> potential savings of between £5,000 and more than £150,000 being reported. The CAF process gives a systematic framework for early intervention programmes and practice with clear evidence of payback. </w:t>
      </w:r>
      <w:r w:rsidRPr="00744F9C">
        <w:rPr>
          <w:rFonts w:ascii="Century Gothic" w:hAnsi="Century Gothic"/>
          <w:i/>
          <w:iCs/>
        </w:rPr>
        <w:t xml:space="preserve">(Early intervention, using the CAF process and its cost effectiveness. Findings from LARC 3, 2011) </w:t>
      </w:r>
    </w:p>
    <w:p w:rsidR="008466AC" w:rsidRDefault="008466AC" w:rsidP="00BB4171">
      <w:pPr>
        <w:rPr>
          <w:rFonts w:ascii="Century Gothic" w:hAnsi="Century Gothic"/>
          <w:lang w:val="en-GB"/>
        </w:rPr>
      </w:pPr>
    </w:p>
    <w:p w:rsidR="008466AC" w:rsidRDefault="008466AC" w:rsidP="00BB4171">
      <w:pPr>
        <w:rPr>
          <w:rFonts w:ascii="Century Gothic" w:hAnsi="Century Gothic"/>
          <w:lang w:val="en-GB"/>
        </w:rPr>
      </w:pPr>
    </w:p>
    <w:p w:rsidR="00135E82" w:rsidRDefault="008466AC" w:rsidP="00BB4171">
      <w:pPr>
        <w:rPr>
          <w:rFonts w:ascii="Century Gothic" w:hAnsi="Century Gothic"/>
          <w:lang w:val="en-GB"/>
        </w:rPr>
      </w:pPr>
      <w:r>
        <w:rPr>
          <w:rFonts w:ascii="Century Gothic" w:hAnsi="Century Gothic"/>
          <w:lang w:val="en-GB"/>
        </w:rPr>
        <w:t xml:space="preserve">The Troubled Families </w:t>
      </w:r>
      <w:r w:rsidR="00FC56A1">
        <w:rPr>
          <w:rFonts w:ascii="Century Gothic" w:hAnsi="Century Gothic"/>
          <w:lang w:val="en-GB"/>
        </w:rPr>
        <w:t>programme also prov</w:t>
      </w:r>
      <w:r w:rsidR="00C77AAD">
        <w:rPr>
          <w:rFonts w:ascii="Century Gothic" w:hAnsi="Century Gothic"/>
          <w:lang w:val="en-GB"/>
        </w:rPr>
        <w:t>i</w:t>
      </w:r>
      <w:r w:rsidR="00FC56A1">
        <w:rPr>
          <w:rFonts w:ascii="Century Gothic" w:hAnsi="Century Gothic"/>
          <w:lang w:val="en-GB"/>
        </w:rPr>
        <w:t xml:space="preserve">des a rich source of information about early help.  </w:t>
      </w:r>
      <w:r w:rsidR="00C77AAD">
        <w:rPr>
          <w:rFonts w:ascii="Century Gothic" w:hAnsi="Century Gothic"/>
          <w:lang w:val="en-GB"/>
        </w:rPr>
        <w:t xml:space="preserve">In </w:t>
      </w:r>
      <w:r w:rsidR="00FC56A1" w:rsidRPr="00FC56A1">
        <w:rPr>
          <w:rFonts w:ascii="Century Gothic" w:hAnsi="Century Gothic"/>
          <w:i/>
          <w:lang w:val="en-GB"/>
        </w:rPr>
        <w:t>“Understanding Troubled Families”</w:t>
      </w:r>
      <w:r w:rsidR="00FC56A1">
        <w:rPr>
          <w:rFonts w:ascii="Century Gothic" w:hAnsi="Century Gothic"/>
          <w:lang w:val="en-GB"/>
        </w:rPr>
        <w:t xml:space="preserve"> (2014)</w:t>
      </w:r>
      <w:r w:rsidR="00C77AAD">
        <w:rPr>
          <w:rFonts w:ascii="Century Gothic" w:hAnsi="Century Gothic"/>
          <w:lang w:val="en-GB"/>
        </w:rPr>
        <w:t>, it is argued</w:t>
      </w:r>
      <w:r w:rsidR="00FC56A1">
        <w:rPr>
          <w:rFonts w:ascii="Century Gothic" w:hAnsi="Century Gothic"/>
          <w:lang w:val="en-GB"/>
        </w:rPr>
        <w:t xml:space="preserve"> that professionals have traditionally dealt with individuals an</w:t>
      </w:r>
      <w:r w:rsidR="00C77AAD">
        <w:rPr>
          <w:rFonts w:ascii="Century Gothic" w:hAnsi="Century Gothic"/>
          <w:lang w:val="en-GB"/>
        </w:rPr>
        <w:t>d</w:t>
      </w:r>
      <w:r w:rsidR="00FC56A1">
        <w:rPr>
          <w:rFonts w:ascii="Century Gothic" w:hAnsi="Century Gothic"/>
          <w:lang w:val="en-GB"/>
        </w:rPr>
        <w:t xml:space="preserve"> not families.  The focus has been on presenting or </w:t>
      </w:r>
      <w:r w:rsidR="00C77AAD">
        <w:rPr>
          <w:rFonts w:ascii="Century Gothic" w:hAnsi="Century Gothic"/>
          <w:lang w:val="en-GB"/>
        </w:rPr>
        <w:t xml:space="preserve">dominating problems and not interconnected </w:t>
      </w:r>
      <w:r w:rsidR="00FC56A1">
        <w:rPr>
          <w:rFonts w:ascii="Century Gothic" w:hAnsi="Century Gothic"/>
          <w:lang w:val="en-GB"/>
        </w:rPr>
        <w:t>problems.  The programme draws on its work with 97,000 families and data monitoring provided by local authorities on a random selection of 10% of the families with whom they work.  The programme had required families to have at least three problems.  However findings showed that in reality on average families demonstrated nine different problems and there were clearly associations between the different issues, often with children replicating the problems of their parents.  The report concludes that it is essential therefore that we work differently and adopt a more systemic approach in public services.  Key to this are the following:</w:t>
      </w:r>
    </w:p>
    <w:p w:rsidR="00FC56A1" w:rsidRDefault="00FC56A1" w:rsidP="00BB4171">
      <w:pPr>
        <w:rPr>
          <w:rFonts w:ascii="Century Gothic" w:hAnsi="Century Gothic"/>
          <w:lang w:val="en-GB"/>
        </w:rPr>
      </w:pPr>
    </w:p>
    <w:p w:rsidR="00135E82" w:rsidRDefault="00135E82" w:rsidP="00FC56A1">
      <w:pPr>
        <w:pStyle w:val="ListParagraph"/>
        <w:numPr>
          <w:ilvl w:val="0"/>
          <w:numId w:val="6"/>
        </w:numPr>
        <w:rPr>
          <w:rFonts w:ascii="Century Gothic" w:hAnsi="Century Gothic"/>
          <w:i/>
          <w:lang w:val="en-GB"/>
        </w:rPr>
      </w:pPr>
      <w:r>
        <w:rPr>
          <w:rFonts w:ascii="Century Gothic" w:hAnsi="Century Gothic"/>
          <w:lang w:val="en-GB"/>
        </w:rPr>
        <w:t>Understanding and m</w:t>
      </w:r>
      <w:r w:rsidR="00FC56A1">
        <w:rPr>
          <w:rFonts w:ascii="Century Gothic" w:hAnsi="Century Gothic"/>
          <w:lang w:val="en-GB"/>
        </w:rPr>
        <w:t>anaging families proactively</w:t>
      </w:r>
      <w:r>
        <w:rPr>
          <w:rFonts w:ascii="Century Gothic" w:hAnsi="Century Gothic"/>
          <w:lang w:val="en-GB"/>
        </w:rPr>
        <w:t xml:space="preserve"> – helping to stabilise them and providing key support to enable everyday functioning.  An </w:t>
      </w:r>
      <w:r w:rsidRPr="00135E82">
        <w:rPr>
          <w:rFonts w:ascii="Century Gothic" w:hAnsi="Century Gothic"/>
          <w:i/>
          <w:lang w:val="en-GB"/>
        </w:rPr>
        <w:t>“inside out”</w:t>
      </w:r>
      <w:r>
        <w:rPr>
          <w:rFonts w:ascii="Century Gothic" w:hAnsi="Century Gothic"/>
          <w:lang w:val="en-GB"/>
        </w:rPr>
        <w:t xml:space="preserve"> approach </w:t>
      </w:r>
      <w:r w:rsidRPr="00135E82">
        <w:rPr>
          <w:rFonts w:ascii="Century Gothic" w:hAnsi="Century Gothic"/>
          <w:i/>
          <w:lang w:val="en-GB"/>
        </w:rPr>
        <w:t>“rather than outside in”.</w:t>
      </w:r>
    </w:p>
    <w:p w:rsidR="00135E82" w:rsidRPr="00135E82" w:rsidRDefault="00135E82" w:rsidP="00135E82">
      <w:pPr>
        <w:rPr>
          <w:rFonts w:ascii="Century Gothic" w:hAnsi="Century Gothic"/>
          <w:i/>
          <w:lang w:val="en-GB"/>
        </w:rPr>
      </w:pPr>
    </w:p>
    <w:p w:rsidR="00135E82" w:rsidRPr="00135E82" w:rsidRDefault="00135E82" w:rsidP="00FC56A1">
      <w:pPr>
        <w:pStyle w:val="ListParagraph"/>
        <w:numPr>
          <w:ilvl w:val="0"/>
          <w:numId w:val="6"/>
        </w:numPr>
        <w:rPr>
          <w:rFonts w:ascii="Century Gothic" w:hAnsi="Century Gothic"/>
          <w:i/>
          <w:lang w:val="en-GB"/>
        </w:rPr>
      </w:pPr>
      <w:r>
        <w:rPr>
          <w:rFonts w:ascii="Century Gothic" w:hAnsi="Century Gothic"/>
          <w:lang w:val="en-GB"/>
        </w:rPr>
        <w:t>Looking beyond thresholds.  Often families are just below thresholds for intervention, but when we look across their different problems, cumulatively, it is very significant, highlighting numerous risks.</w:t>
      </w:r>
    </w:p>
    <w:p w:rsidR="00135E82" w:rsidRPr="00135E82" w:rsidRDefault="00135E82" w:rsidP="00135E82">
      <w:pPr>
        <w:rPr>
          <w:rFonts w:ascii="Century Gothic" w:hAnsi="Century Gothic"/>
          <w:i/>
          <w:lang w:val="en-GB"/>
        </w:rPr>
      </w:pPr>
    </w:p>
    <w:p w:rsidR="00BB4171" w:rsidRPr="00135E82" w:rsidRDefault="00135E82" w:rsidP="00FC56A1">
      <w:pPr>
        <w:pStyle w:val="ListParagraph"/>
        <w:numPr>
          <w:ilvl w:val="0"/>
          <w:numId w:val="6"/>
        </w:numPr>
        <w:rPr>
          <w:rFonts w:ascii="Century Gothic" w:hAnsi="Century Gothic"/>
          <w:lang w:val="en-GB"/>
        </w:rPr>
      </w:pPr>
      <w:r w:rsidRPr="00135E82">
        <w:rPr>
          <w:rFonts w:ascii="Century Gothic" w:hAnsi="Century Gothic"/>
          <w:lang w:val="en-GB"/>
        </w:rPr>
        <w:t>Linked to this is the importance of systematic information sharing.</w:t>
      </w:r>
    </w:p>
    <w:p w:rsidR="001170AB" w:rsidRDefault="001170AB" w:rsidP="00BB4171">
      <w:pPr>
        <w:rPr>
          <w:rFonts w:ascii="Century Gothic" w:hAnsi="Century Gothic"/>
          <w:b/>
          <w:u w:val="single"/>
          <w:lang w:val="en-GB"/>
        </w:rPr>
      </w:pPr>
    </w:p>
    <w:p w:rsidR="001170AB" w:rsidRDefault="001170AB" w:rsidP="00BB4171">
      <w:pPr>
        <w:rPr>
          <w:rFonts w:ascii="Century Gothic" w:hAnsi="Century Gothic"/>
          <w:b/>
          <w:u w:val="single"/>
          <w:lang w:val="en-GB"/>
        </w:rPr>
      </w:pPr>
    </w:p>
    <w:p w:rsidR="001170AB" w:rsidRDefault="001170AB" w:rsidP="00BB4171">
      <w:pPr>
        <w:rPr>
          <w:rFonts w:ascii="Century Gothic" w:hAnsi="Century Gothic"/>
          <w:b/>
          <w:u w:val="single"/>
          <w:lang w:val="en-GB"/>
        </w:rPr>
      </w:pPr>
    </w:p>
    <w:p w:rsidR="00BB4171" w:rsidRPr="00135E82" w:rsidRDefault="00BB4171" w:rsidP="00BB4171">
      <w:pPr>
        <w:rPr>
          <w:rFonts w:ascii="Century Gothic" w:hAnsi="Century Gothic"/>
          <w:b/>
          <w:u w:val="single"/>
          <w:lang w:val="en-GB"/>
        </w:rPr>
      </w:pPr>
    </w:p>
    <w:p w:rsidR="00661DFB" w:rsidRDefault="00BB4171" w:rsidP="009B2153">
      <w:pPr>
        <w:pStyle w:val="ListParagraph"/>
        <w:numPr>
          <w:ilvl w:val="0"/>
          <w:numId w:val="1"/>
        </w:numPr>
        <w:rPr>
          <w:rFonts w:ascii="Century Gothic" w:hAnsi="Century Gothic"/>
          <w:b/>
          <w:u w:val="single"/>
          <w:lang w:val="en-GB"/>
        </w:rPr>
      </w:pPr>
      <w:r>
        <w:rPr>
          <w:rFonts w:ascii="Century Gothic" w:hAnsi="Century Gothic"/>
          <w:b/>
          <w:u w:val="single"/>
          <w:lang w:val="en-GB"/>
        </w:rPr>
        <w:t>Conclusions</w:t>
      </w:r>
    </w:p>
    <w:p w:rsidR="00FC56A1" w:rsidRDefault="00FC56A1" w:rsidP="00661DFB">
      <w:pPr>
        <w:rPr>
          <w:rFonts w:ascii="Century Gothic" w:hAnsi="Century Gothic"/>
          <w:b/>
          <w:u w:val="single"/>
          <w:lang w:val="en-GB"/>
        </w:rPr>
      </w:pPr>
    </w:p>
    <w:p w:rsidR="0046087D" w:rsidRDefault="001170AB" w:rsidP="00661DFB">
      <w:pPr>
        <w:rPr>
          <w:rFonts w:ascii="Century Gothic" w:hAnsi="Century Gothic"/>
          <w:lang w:val="en-GB"/>
        </w:rPr>
      </w:pPr>
      <w:r>
        <w:rPr>
          <w:rFonts w:ascii="Century Gothic" w:hAnsi="Century Gothic"/>
          <w:lang w:val="en-GB"/>
        </w:rPr>
        <w:t>The literature clearly highlights that a whole system approach is needed in order to maximise early help support and the child needs to be viewed within the systems in which he or she lives.</w:t>
      </w:r>
      <w:r w:rsidR="0046087D">
        <w:rPr>
          <w:rFonts w:ascii="Century Gothic" w:hAnsi="Century Gothic"/>
          <w:lang w:val="en-GB"/>
        </w:rPr>
        <w:t xml:space="preserve"> </w:t>
      </w:r>
      <w:proofErr w:type="gramStart"/>
      <w:r w:rsidR="0046087D">
        <w:rPr>
          <w:rFonts w:ascii="Century Gothic" w:hAnsi="Century Gothic"/>
          <w:lang w:val="en-GB"/>
        </w:rPr>
        <w:t xml:space="preserve">E.g. </w:t>
      </w:r>
      <w:r w:rsidR="00FB1D87">
        <w:rPr>
          <w:rFonts w:ascii="Century Gothic" w:hAnsi="Century Gothic"/>
          <w:lang w:val="en-GB"/>
        </w:rPr>
        <w:t>the family, school etc.</w:t>
      </w:r>
      <w:proofErr w:type="gramEnd"/>
      <w:r w:rsidR="00FB1D87">
        <w:rPr>
          <w:rFonts w:ascii="Century Gothic" w:hAnsi="Century Gothic"/>
          <w:lang w:val="en-GB"/>
        </w:rPr>
        <w:t xml:space="preserve">  This </w:t>
      </w:r>
      <w:r>
        <w:rPr>
          <w:rFonts w:ascii="Century Gothic" w:hAnsi="Century Gothic"/>
          <w:lang w:val="en-GB"/>
        </w:rPr>
        <w:t xml:space="preserve">is often referred to as the child’s ‘ecology’, Bronfenbrenner (1979).  Emerging findings also indicate that early help services do result in </w:t>
      </w:r>
      <w:r w:rsidR="0046087D">
        <w:rPr>
          <w:rFonts w:ascii="Century Gothic" w:hAnsi="Century Gothic"/>
          <w:lang w:val="en-GB"/>
        </w:rPr>
        <w:t xml:space="preserve">improved outcomes for children and </w:t>
      </w:r>
      <w:r>
        <w:rPr>
          <w:rFonts w:ascii="Century Gothic" w:hAnsi="Century Gothic"/>
          <w:lang w:val="en-GB"/>
        </w:rPr>
        <w:t>savings both in terms of financial and social impact.</w:t>
      </w:r>
    </w:p>
    <w:p w:rsidR="0046087D" w:rsidRDefault="0046087D" w:rsidP="00661DFB">
      <w:pPr>
        <w:rPr>
          <w:rFonts w:ascii="Century Gothic" w:hAnsi="Century Gothic"/>
          <w:lang w:val="en-GB"/>
        </w:rPr>
      </w:pPr>
    </w:p>
    <w:p w:rsidR="00BA4023" w:rsidRPr="00FC56A1" w:rsidRDefault="0046087D" w:rsidP="00661DFB">
      <w:pPr>
        <w:rPr>
          <w:rFonts w:ascii="Century Gothic" w:hAnsi="Century Gothic"/>
          <w:lang w:val="en-GB"/>
        </w:rPr>
      </w:pPr>
      <w:r>
        <w:rPr>
          <w:rFonts w:ascii="Century Gothic" w:hAnsi="Century Gothic"/>
          <w:lang w:val="en-GB"/>
        </w:rPr>
        <w:t>This paper will now be used to underpin the development of the South East Evaluation Framework.</w:t>
      </w:r>
    </w:p>
    <w:p w:rsidR="00E47860" w:rsidRPr="00FC56A1" w:rsidRDefault="00E47860" w:rsidP="009B2153">
      <w:pPr>
        <w:rPr>
          <w:rFonts w:ascii="Century Gothic" w:hAnsi="Century Gothic"/>
          <w:lang w:val="en-GB"/>
        </w:rPr>
      </w:pPr>
    </w:p>
    <w:p w:rsidR="00E47860" w:rsidRDefault="00E47860" w:rsidP="009B2153">
      <w:pPr>
        <w:rPr>
          <w:rFonts w:ascii="Century Gothic" w:hAnsi="Century Gothic"/>
          <w:b/>
          <w:lang w:val="en-GB"/>
        </w:rPr>
      </w:pPr>
      <w:r>
        <w:rPr>
          <w:rFonts w:ascii="Century Gothic" w:hAnsi="Century Gothic"/>
          <w:b/>
          <w:lang w:val="en-GB"/>
        </w:rPr>
        <w:t>Natalie Trentham</w:t>
      </w:r>
    </w:p>
    <w:p w:rsidR="0046087D" w:rsidRDefault="00E47860" w:rsidP="009B2153">
      <w:pPr>
        <w:rPr>
          <w:rFonts w:ascii="Century Gothic" w:hAnsi="Century Gothic"/>
          <w:b/>
          <w:lang w:val="en-GB"/>
        </w:rPr>
      </w:pPr>
      <w:r>
        <w:rPr>
          <w:rFonts w:ascii="Century Gothic" w:hAnsi="Century Gothic"/>
          <w:b/>
          <w:lang w:val="en-GB"/>
        </w:rPr>
        <w:t>August 2015</w:t>
      </w:r>
    </w:p>
    <w:p w:rsidR="0046087D" w:rsidRDefault="0046087D" w:rsidP="009B2153">
      <w:pPr>
        <w:rPr>
          <w:rFonts w:ascii="Century Gothic" w:hAnsi="Century Gothic"/>
          <w:b/>
          <w:lang w:val="en-GB"/>
        </w:rPr>
      </w:pPr>
    </w:p>
    <w:p w:rsidR="0046087D" w:rsidRDefault="0046087D" w:rsidP="009B2153">
      <w:pPr>
        <w:rPr>
          <w:rFonts w:ascii="Century Gothic" w:hAnsi="Century Gothic"/>
          <w:b/>
          <w:sz w:val="28"/>
          <w:u w:val="single"/>
          <w:lang w:val="en-GB"/>
        </w:rPr>
      </w:pPr>
      <w:r>
        <w:rPr>
          <w:rFonts w:ascii="Century Gothic" w:hAnsi="Century Gothic"/>
          <w:b/>
          <w:lang w:val="en-GB"/>
        </w:rPr>
        <w:br w:type="page"/>
      </w:r>
      <w:r>
        <w:rPr>
          <w:rFonts w:ascii="Century Gothic" w:hAnsi="Century Gothic"/>
          <w:b/>
          <w:sz w:val="28"/>
          <w:u w:val="single"/>
          <w:lang w:val="en-GB"/>
        </w:rPr>
        <w:t>References</w:t>
      </w:r>
    </w:p>
    <w:p w:rsidR="0046087D" w:rsidRDefault="0046087D" w:rsidP="0046087D">
      <w:pPr>
        <w:rPr>
          <w:rFonts w:ascii="Century Gothic" w:hAnsi="Century Gothic"/>
          <w:sz w:val="28"/>
          <w:lang w:val="en-GB"/>
        </w:rPr>
      </w:pPr>
    </w:p>
    <w:p w:rsidR="00871C6D" w:rsidRDefault="00871C6D" w:rsidP="00D92774">
      <w:pPr>
        <w:numPr>
          <w:ilvl w:val="0"/>
          <w:numId w:val="13"/>
        </w:numPr>
        <w:spacing w:after="120"/>
        <w:rPr>
          <w:rFonts w:ascii="Century Gothic" w:hAnsi="Century Gothic"/>
          <w:szCs w:val="22"/>
        </w:rPr>
      </w:pPr>
      <w:r>
        <w:rPr>
          <w:rFonts w:ascii="Century Gothic" w:hAnsi="Century Gothic"/>
          <w:szCs w:val="22"/>
        </w:rPr>
        <w:t>Allen, G.</w:t>
      </w:r>
      <w:r w:rsidRPr="00661DFB">
        <w:rPr>
          <w:rFonts w:ascii="Century Gothic" w:hAnsi="Century Gothic"/>
          <w:szCs w:val="22"/>
        </w:rPr>
        <w:t xml:space="preserve"> </w:t>
      </w:r>
      <w:r>
        <w:rPr>
          <w:rFonts w:ascii="Century Gothic" w:hAnsi="Century Gothic"/>
          <w:szCs w:val="22"/>
        </w:rPr>
        <w:t xml:space="preserve">(2011) </w:t>
      </w:r>
      <w:r w:rsidRPr="00871C6D">
        <w:rPr>
          <w:rFonts w:ascii="Century Gothic" w:hAnsi="Century Gothic"/>
          <w:i/>
          <w:szCs w:val="22"/>
        </w:rPr>
        <w:t>Early Intervention: The Next Steps</w:t>
      </w:r>
      <w:r w:rsidRPr="00871C6D">
        <w:rPr>
          <w:rFonts w:ascii="Century Gothic" w:hAnsi="Century Gothic"/>
          <w:szCs w:val="22"/>
        </w:rPr>
        <w:t>.  Gov.uk Publication</w:t>
      </w:r>
      <w:proofErr w:type="gramStart"/>
      <w:r w:rsidRPr="00871C6D">
        <w:rPr>
          <w:rFonts w:ascii="Century Gothic" w:hAnsi="Century Gothic"/>
          <w:szCs w:val="22"/>
        </w:rPr>
        <w:t xml:space="preserve">:  </w:t>
      </w:r>
      <w:proofErr w:type="gramEnd"/>
      <w:r w:rsidR="009A191D">
        <w:rPr>
          <w:rFonts w:ascii="Century Gothic" w:hAnsi="Century Gothic"/>
          <w:szCs w:val="22"/>
        </w:rPr>
        <w:fldChar w:fldCharType="begin"/>
      </w:r>
      <w:r>
        <w:rPr>
          <w:rFonts w:ascii="Century Gothic" w:hAnsi="Century Gothic"/>
          <w:szCs w:val="22"/>
        </w:rPr>
        <w:instrText xml:space="preserve"> HYPERLINK "</w:instrText>
      </w:r>
      <w:r w:rsidRPr="00871C6D">
        <w:rPr>
          <w:rFonts w:ascii="Century Gothic" w:hAnsi="Century Gothic"/>
          <w:szCs w:val="22"/>
        </w:rPr>
        <w:instrText>https://www.gov.uk/government/publications/early-intervention-the-next-steps--2</w:instrText>
      </w:r>
      <w:r>
        <w:rPr>
          <w:rFonts w:ascii="Century Gothic" w:hAnsi="Century Gothic"/>
          <w:szCs w:val="22"/>
        </w:rPr>
        <w:instrText xml:space="preserve">" </w:instrText>
      </w:r>
      <w:r w:rsidR="009A191D">
        <w:rPr>
          <w:rFonts w:ascii="Century Gothic" w:hAnsi="Century Gothic"/>
          <w:szCs w:val="22"/>
        </w:rPr>
        <w:fldChar w:fldCharType="separate"/>
      </w:r>
      <w:r w:rsidRPr="007F4CD2">
        <w:rPr>
          <w:rStyle w:val="Hyperlink"/>
          <w:rFonts w:ascii="Century Gothic" w:hAnsi="Century Gothic"/>
          <w:szCs w:val="22"/>
        </w:rPr>
        <w:t>https://www.gov.uk/government/publications/early-intervention-the-next-steps--2</w:t>
      </w:r>
      <w:r w:rsidR="009A191D">
        <w:rPr>
          <w:rFonts w:ascii="Century Gothic" w:hAnsi="Century Gothic"/>
          <w:szCs w:val="22"/>
        </w:rPr>
        <w:fldChar w:fldCharType="end"/>
      </w:r>
      <w:r>
        <w:rPr>
          <w:rFonts w:ascii="Century Gothic" w:hAnsi="Century Gothic"/>
          <w:szCs w:val="22"/>
        </w:rPr>
        <w:t xml:space="preserve">  Accessed August 2015.</w:t>
      </w:r>
    </w:p>
    <w:p w:rsidR="00871C6D" w:rsidRPr="00871C6D" w:rsidRDefault="00871C6D" w:rsidP="00871C6D">
      <w:pPr>
        <w:spacing w:after="120"/>
        <w:rPr>
          <w:rFonts w:ascii="Century Gothic" w:hAnsi="Century Gothic"/>
          <w:szCs w:val="22"/>
        </w:rPr>
      </w:pPr>
    </w:p>
    <w:p w:rsidR="00D92774" w:rsidRDefault="00D92774" w:rsidP="00D92774">
      <w:pPr>
        <w:pStyle w:val="ListParagraph"/>
        <w:numPr>
          <w:ilvl w:val="0"/>
          <w:numId w:val="13"/>
        </w:numPr>
        <w:rPr>
          <w:rFonts w:ascii="Century Gothic" w:hAnsi="Century Gothic"/>
          <w:lang w:val="en-GB"/>
        </w:rPr>
      </w:pPr>
      <w:r>
        <w:rPr>
          <w:rFonts w:ascii="Century Gothic" w:hAnsi="Century Gothic"/>
          <w:lang w:val="en-GB"/>
        </w:rPr>
        <w:t xml:space="preserve">Booth-Smith, L and </w:t>
      </w:r>
      <w:proofErr w:type="spellStart"/>
      <w:r>
        <w:rPr>
          <w:rFonts w:ascii="Century Gothic" w:hAnsi="Century Gothic"/>
          <w:lang w:val="en-GB"/>
        </w:rPr>
        <w:t>Ainger</w:t>
      </w:r>
      <w:proofErr w:type="spellEnd"/>
      <w:r>
        <w:rPr>
          <w:rFonts w:ascii="Century Gothic" w:hAnsi="Century Gothic"/>
          <w:lang w:val="en-GB"/>
        </w:rPr>
        <w:t xml:space="preserve">, </w:t>
      </w:r>
      <w:proofErr w:type="gramStart"/>
      <w:r>
        <w:rPr>
          <w:rFonts w:ascii="Century Gothic" w:hAnsi="Century Gothic"/>
          <w:lang w:val="en-GB"/>
        </w:rPr>
        <w:t>J(</w:t>
      </w:r>
      <w:proofErr w:type="gramEnd"/>
      <w:r>
        <w:rPr>
          <w:rFonts w:ascii="Century Gothic" w:hAnsi="Century Gothic"/>
          <w:lang w:val="en-GB"/>
        </w:rPr>
        <w:t xml:space="preserve">2015)  </w:t>
      </w:r>
      <w:r>
        <w:rPr>
          <w:rFonts w:ascii="Century Gothic" w:hAnsi="Century Gothic"/>
          <w:i/>
          <w:lang w:val="en-GB"/>
        </w:rPr>
        <w:t xml:space="preserve">The Inflection Point.  </w:t>
      </w:r>
      <w:proofErr w:type="spellStart"/>
      <w:proofErr w:type="gramStart"/>
      <w:r>
        <w:rPr>
          <w:rFonts w:ascii="Century Gothic" w:hAnsi="Century Gothic"/>
          <w:lang w:val="en-GB"/>
        </w:rPr>
        <w:t>iMpower</w:t>
      </w:r>
      <w:proofErr w:type="spellEnd"/>
      <w:proofErr w:type="gramEnd"/>
      <w:r>
        <w:rPr>
          <w:rFonts w:ascii="Century Gothic" w:hAnsi="Century Gothic"/>
          <w:i/>
          <w:lang w:val="en-GB"/>
        </w:rPr>
        <w:t xml:space="preserve">  </w:t>
      </w:r>
      <w:hyperlink r:id="rId6" w:history="1">
        <w:r w:rsidRPr="007F4CD2">
          <w:rPr>
            <w:rStyle w:val="Hyperlink"/>
            <w:rFonts w:ascii="Century Gothic" w:hAnsi="Century Gothic"/>
            <w:i/>
            <w:lang w:val="en-GB"/>
          </w:rPr>
          <w:t>http://www.impower.co.uk/wp-content/uploads/impower-research-report-FINAL.pdf</w:t>
        </w:r>
      </w:hyperlink>
      <w:r>
        <w:rPr>
          <w:rFonts w:ascii="Century Gothic" w:hAnsi="Century Gothic"/>
          <w:i/>
          <w:lang w:val="en-GB"/>
        </w:rPr>
        <w:t xml:space="preserve">  </w:t>
      </w:r>
      <w:r>
        <w:rPr>
          <w:rFonts w:ascii="Century Gothic" w:hAnsi="Century Gothic"/>
          <w:lang w:val="en-GB"/>
        </w:rPr>
        <w:t>Accessed August 2015.</w:t>
      </w:r>
    </w:p>
    <w:p w:rsidR="00D92774" w:rsidRPr="00D92774" w:rsidRDefault="00D92774" w:rsidP="00D92774">
      <w:pPr>
        <w:rPr>
          <w:rFonts w:ascii="Century Gothic" w:hAnsi="Century Gothic"/>
          <w:lang w:val="en-GB"/>
        </w:rPr>
      </w:pPr>
    </w:p>
    <w:p w:rsidR="0046087D" w:rsidRDefault="0046087D" w:rsidP="0046087D">
      <w:pPr>
        <w:pStyle w:val="ListParagraph"/>
        <w:numPr>
          <w:ilvl w:val="0"/>
          <w:numId w:val="13"/>
        </w:numPr>
        <w:rPr>
          <w:rFonts w:ascii="Century Gothic" w:hAnsi="Century Gothic"/>
          <w:lang w:val="en-GB"/>
        </w:rPr>
      </w:pPr>
      <w:r w:rsidRPr="0046087D">
        <w:rPr>
          <w:rFonts w:ascii="Century Gothic" w:hAnsi="Century Gothic"/>
          <w:lang w:val="en-GB"/>
        </w:rPr>
        <w:t xml:space="preserve">Bronfenbrenner, U (1979) </w:t>
      </w:r>
      <w:proofErr w:type="gramStart"/>
      <w:r w:rsidRPr="0046087D">
        <w:rPr>
          <w:rFonts w:ascii="Century Gothic" w:hAnsi="Century Gothic"/>
          <w:i/>
          <w:lang w:val="en-GB"/>
        </w:rPr>
        <w:t>The</w:t>
      </w:r>
      <w:proofErr w:type="gramEnd"/>
      <w:r w:rsidRPr="0046087D">
        <w:rPr>
          <w:rFonts w:ascii="Century Gothic" w:hAnsi="Century Gothic"/>
          <w:i/>
          <w:lang w:val="en-GB"/>
        </w:rPr>
        <w:t xml:space="preserve"> ecology of human development: Experiments by nature and design.  </w:t>
      </w:r>
      <w:r w:rsidRPr="0046087D">
        <w:rPr>
          <w:rFonts w:ascii="Century Gothic" w:hAnsi="Century Gothic"/>
          <w:lang w:val="en-GB"/>
        </w:rPr>
        <w:t>Cambridge MA: Harvard University Press.</w:t>
      </w:r>
    </w:p>
    <w:p w:rsidR="0046087D" w:rsidRPr="0046087D" w:rsidRDefault="0046087D" w:rsidP="0046087D">
      <w:pPr>
        <w:rPr>
          <w:rFonts w:ascii="Century Gothic" w:hAnsi="Century Gothic"/>
          <w:lang w:val="en-GB"/>
        </w:rPr>
      </w:pPr>
    </w:p>
    <w:p w:rsidR="0046087D" w:rsidRPr="005E2796" w:rsidRDefault="005E2796" w:rsidP="0046087D">
      <w:pPr>
        <w:pStyle w:val="ListParagraph"/>
        <w:numPr>
          <w:ilvl w:val="0"/>
          <w:numId w:val="13"/>
        </w:numPr>
        <w:rPr>
          <w:rFonts w:ascii="Century Gothic" w:hAnsi="Century Gothic"/>
          <w:i/>
          <w:lang w:val="en-GB"/>
        </w:rPr>
      </w:pPr>
      <w:proofErr w:type="spellStart"/>
      <w:r w:rsidRPr="005E2796">
        <w:rPr>
          <w:rFonts w:ascii="Century Gothic" w:hAnsi="Century Gothic"/>
        </w:rPr>
        <w:t>Chowdry</w:t>
      </w:r>
      <w:proofErr w:type="spellEnd"/>
      <w:r>
        <w:rPr>
          <w:rFonts w:ascii="Century Gothic" w:hAnsi="Century Gothic"/>
        </w:rPr>
        <w:t xml:space="preserve"> (H) and </w:t>
      </w:r>
      <w:r w:rsidRPr="005E2796">
        <w:rPr>
          <w:rFonts w:ascii="Century Gothic" w:hAnsi="Century Gothic"/>
        </w:rPr>
        <w:t>Oppenheim</w:t>
      </w:r>
      <w:r>
        <w:rPr>
          <w:rFonts w:ascii="Century Gothic" w:hAnsi="Century Gothic"/>
        </w:rPr>
        <w:t xml:space="preserve">, C (2015) </w:t>
      </w:r>
      <w:r w:rsidR="0046087D" w:rsidRPr="0046087D">
        <w:rPr>
          <w:rFonts w:ascii="Century Gothic" w:hAnsi="Century Gothic"/>
          <w:i/>
          <w:lang w:val="en-GB"/>
        </w:rPr>
        <w:t>Spending on Late Intervention – How We Can Do Better for Less</w:t>
      </w:r>
      <w:r>
        <w:rPr>
          <w:rFonts w:ascii="Century Gothic" w:hAnsi="Century Gothic"/>
          <w:i/>
          <w:lang w:val="en-GB"/>
        </w:rPr>
        <w:t xml:space="preserve">.  </w:t>
      </w:r>
      <w:r>
        <w:rPr>
          <w:rFonts w:ascii="Century Gothic" w:hAnsi="Century Gothic"/>
          <w:lang w:val="en-GB"/>
        </w:rPr>
        <w:t xml:space="preserve">The Early Intervention </w:t>
      </w:r>
      <w:r w:rsidRPr="005E2796">
        <w:rPr>
          <w:rFonts w:ascii="Century Gothic" w:hAnsi="Century Gothic"/>
          <w:lang w:val="en-GB"/>
        </w:rPr>
        <w:t>Foundation</w:t>
      </w:r>
      <w:r>
        <w:rPr>
          <w:rFonts w:ascii="Century Gothic" w:hAnsi="Century Gothic"/>
          <w:lang w:val="en-GB"/>
        </w:rPr>
        <w:t xml:space="preserve">: </w:t>
      </w:r>
      <w:hyperlink r:id="rId7" w:history="1">
        <w:r w:rsidRPr="007F4CD2">
          <w:rPr>
            <w:rStyle w:val="Hyperlink"/>
            <w:rFonts w:ascii="Century Gothic" w:hAnsi="Century Gothic"/>
            <w:lang w:val="en-GB"/>
          </w:rPr>
          <w:t>http://www.eif.org.uk/publication/spending-on-late-intervention-how-we-can-do-better-for-less/</w:t>
        </w:r>
      </w:hyperlink>
      <w:proofErr w:type="gramStart"/>
      <w:r>
        <w:rPr>
          <w:rFonts w:ascii="Century Gothic" w:hAnsi="Century Gothic"/>
          <w:i/>
          <w:lang w:val="en-GB"/>
        </w:rPr>
        <w:t xml:space="preserve">  </w:t>
      </w:r>
      <w:r>
        <w:rPr>
          <w:rFonts w:ascii="Century Gothic" w:hAnsi="Century Gothic"/>
          <w:lang w:val="en-GB"/>
        </w:rPr>
        <w:t>Accessed</w:t>
      </w:r>
      <w:proofErr w:type="gramEnd"/>
      <w:r>
        <w:rPr>
          <w:rFonts w:ascii="Century Gothic" w:hAnsi="Century Gothic"/>
          <w:lang w:val="en-GB"/>
        </w:rPr>
        <w:t xml:space="preserve"> August 2015</w:t>
      </w:r>
    </w:p>
    <w:p w:rsidR="0046087D" w:rsidRPr="0046087D" w:rsidRDefault="0046087D" w:rsidP="0046087D">
      <w:pPr>
        <w:rPr>
          <w:rFonts w:ascii="Century Gothic" w:hAnsi="Century Gothic"/>
          <w:lang w:val="en-GB"/>
        </w:rPr>
      </w:pPr>
    </w:p>
    <w:p w:rsidR="00F71EFE" w:rsidRDefault="00F71EFE" w:rsidP="0046087D">
      <w:pPr>
        <w:pStyle w:val="ListParagraph"/>
        <w:numPr>
          <w:ilvl w:val="0"/>
          <w:numId w:val="13"/>
        </w:numPr>
        <w:rPr>
          <w:rFonts w:ascii="Century Gothic" w:hAnsi="Century Gothic"/>
          <w:lang w:val="en-GB"/>
        </w:rPr>
      </w:pPr>
      <w:r>
        <w:rPr>
          <w:rFonts w:ascii="Century Gothic" w:hAnsi="Century Gothic"/>
          <w:lang w:val="en-GB"/>
        </w:rPr>
        <w:t xml:space="preserve">Department for communities and Local Government (2014) </w:t>
      </w:r>
      <w:r w:rsidRPr="00FC56A1">
        <w:rPr>
          <w:rFonts w:ascii="Century Gothic" w:hAnsi="Century Gothic"/>
          <w:i/>
          <w:lang w:val="en-GB"/>
        </w:rPr>
        <w:t>Understanding Troubled Families</w:t>
      </w:r>
      <w:r>
        <w:rPr>
          <w:rFonts w:ascii="Century Gothic" w:hAnsi="Century Gothic"/>
          <w:i/>
          <w:lang w:val="en-GB"/>
        </w:rPr>
        <w:t xml:space="preserve">.  </w:t>
      </w:r>
      <w:r>
        <w:rPr>
          <w:rFonts w:ascii="Century Gothic" w:hAnsi="Century Gothic"/>
          <w:lang w:val="en-GB"/>
        </w:rPr>
        <w:t xml:space="preserve">Gov.uk Publication: </w:t>
      </w:r>
      <w:hyperlink r:id="rId8" w:history="1">
        <w:r w:rsidRPr="007F4CD2">
          <w:rPr>
            <w:rStyle w:val="Hyperlink"/>
            <w:rFonts w:ascii="Century Gothic" w:hAnsi="Century Gothic"/>
            <w:lang w:val="en-GB"/>
          </w:rPr>
          <w:t>https://www.gov.uk/government/publications/understanding-troubled-families</w:t>
        </w:r>
      </w:hyperlink>
      <w:proofErr w:type="gramStart"/>
      <w:r>
        <w:rPr>
          <w:rFonts w:ascii="Century Gothic" w:hAnsi="Century Gothic"/>
          <w:lang w:val="en-GB"/>
        </w:rPr>
        <w:t xml:space="preserve">  Accessed</w:t>
      </w:r>
      <w:proofErr w:type="gramEnd"/>
      <w:r>
        <w:rPr>
          <w:rFonts w:ascii="Century Gothic" w:hAnsi="Century Gothic"/>
          <w:lang w:val="en-GB"/>
        </w:rPr>
        <w:t xml:space="preserve"> August 2015.</w:t>
      </w:r>
    </w:p>
    <w:p w:rsidR="00F71EFE" w:rsidRPr="00F71EFE" w:rsidRDefault="00F71EFE" w:rsidP="00F71EFE">
      <w:pPr>
        <w:rPr>
          <w:rFonts w:ascii="Century Gothic" w:hAnsi="Century Gothic"/>
          <w:lang w:val="en-GB"/>
        </w:rPr>
      </w:pPr>
    </w:p>
    <w:p w:rsidR="00F71EFE" w:rsidRPr="00F71EFE" w:rsidRDefault="00F71EFE" w:rsidP="00F71EFE">
      <w:pPr>
        <w:rPr>
          <w:rFonts w:ascii="Century Gothic" w:hAnsi="Century Gothic"/>
          <w:lang w:val="en-GB"/>
        </w:rPr>
      </w:pPr>
    </w:p>
    <w:p w:rsidR="00D64FEC" w:rsidRDefault="00D64FEC" w:rsidP="0046087D">
      <w:pPr>
        <w:pStyle w:val="ListParagraph"/>
        <w:numPr>
          <w:ilvl w:val="0"/>
          <w:numId w:val="13"/>
        </w:numPr>
        <w:rPr>
          <w:rFonts w:ascii="Century Gothic" w:hAnsi="Century Gothic"/>
          <w:lang w:val="en-GB"/>
        </w:rPr>
      </w:pPr>
      <w:r>
        <w:rPr>
          <w:rFonts w:ascii="Century Gothic" w:hAnsi="Century Gothic"/>
          <w:lang w:val="en-GB"/>
        </w:rPr>
        <w:t xml:space="preserve">DCSF (2010) </w:t>
      </w:r>
      <w:r w:rsidRPr="001170AB">
        <w:rPr>
          <w:rFonts w:ascii="Century Gothic" w:hAnsi="Century Gothic"/>
          <w:i/>
          <w:iCs/>
        </w:rPr>
        <w:t>Early Intervention: Securing Good Outcomes for all Children and Young People</w:t>
      </w:r>
      <w:r>
        <w:rPr>
          <w:rFonts w:ascii="Century Gothic" w:hAnsi="Century Gothic"/>
          <w:lang w:val="en-GB"/>
        </w:rPr>
        <w:t xml:space="preserve">.  DCSF:  </w:t>
      </w:r>
      <w:hyperlink r:id="rId9" w:history="1">
        <w:r w:rsidRPr="007F4CD2">
          <w:rPr>
            <w:rStyle w:val="Hyperlink"/>
            <w:rFonts w:ascii="Century Gothic" w:hAnsi="Century Gothic"/>
            <w:lang w:val="en-GB"/>
          </w:rPr>
          <w:t>http://dera.ioe.ac.uk/11385/1/DCSF-00349-2010.pdf</w:t>
        </w:r>
      </w:hyperlink>
      <w:proofErr w:type="gramStart"/>
      <w:r>
        <w:rPr>
          <w:rFonts w:ascii="Century Gothic" w:hAnsi="Century Gothic"/>
          <w:lang w:val="en-GB"/>
        </w:rPr>
        <w:t xml:space="preserve">  Accessed</w:t>
      </w:r>
      <w:proofErr w:type="gramEnd"/>
      <w:r>
        <w:rPr>
          <w:rFonts w:ascii="Century Gothic" w:hAnsi="Century Gothic"/>
          <w:lang w:val="en-GB"/>
        </w:rPr>
        <w:t xml:space="preserve"> August 2015.</w:t>
      </w:r>
    </w:p>
    <w:p w:rsidR="00D64FEC" w:rsidRPr="00D64FEC" w:rsidRDefault="00D64FEC" w:rsidP="00D64FEC">
      <w:pPr>
        <w:rPr>
          <w:rFonts w:ascii="Century Gothic" w:hAnsi="Century Gothic"/>
          <w:lang w:val="en-GB"/>
        </w:rPr>
      </w:pPr>
    </w:p>
    <w:p w:rsidR="00F71EFE" w:rsidRPr="00F71EFE" w:rsidRDefault="00D64FEC" w:rsidP="0046087D">
      <w:pPr>
        <w:pStyle w:val="ListParagraph"/>
        <w:numPr>
          <w:ilvl w:val="0"/>
          <w:numId w:val="13"/>
        </w:numPr>
        <w:rPr>
          <w:rFonts w:ascii="Century Gothic" w:hAnsi="Century Gothic"/>
          <w:lang w:val="en-GB"/>
        </w:rPr>
      </w:pPr>
      <w:r>
        <w:rPr>
          <w:rFonts w:ascii="Century Gothic" w:hAnsi="Century Gothic"/>
          <w:lang w:val="en-GB"/>
        </w:rPr>
        <w:t xml:space="preserve">Easton, C., Gee, G., Durbin, B. and </w:t>
      </w:r>
      <w:proofErr w:type="spellStart"/>
      <w:r>
        <w:rPr>
          <w:rFonts w:ascii="Century Gothic" w:hAnsi="Century Gothic"/>
          <w:lang w:val="en-GB"/>
        </w:rPr>
        <w:t>Teeman</w:t>
      </w:r>
      <w:proofErr w:type="spellEnd"/>
      <w:r>
        <w:rPr>
          <w:rFonts w:ascii="Century Gothic" w:hAnsi="Century Gothic"/>
          <w:lang w:val="en-GB"/>
        </w:rPr>
        <w:t xml:space="preserve">, D.  (2011) </w:t>
      </w:r>
      <w:r w:rsidRPr="00D64FEC">
        <w:rPr>
          <w:rFonts w:ascii="Century Gothic" w:hAnsi="Century Gothic"/>
          <w:bCs/>
          <w:i/>
        </w:rPr>
        <w:t>Early intervention, using the CAF process, and its cost effectiveness: Findings from LARC3</w:t>
      </w:r>
      <w:r w:rsidR="00F71EFE">
        <w:rPr>
          <w:rFonts w:ascii="Century Gothic" w:hAnsi="Century Gothic"/>
          <w:bCs/>
          <w:i/>
        </w:rPr>
        <w:t xml:space="preserve">.  </w:t>
      </w:r>
      <w:r w:rsidR="00F71EFE" w:rsidRPr="00F71EFE">
        <w:rPr>
          <w:rFonts w:ascii="Century Gothic" w:hAnsi="Century Gothic"/>
          <w:bCs/>
        </w:rPr>
        <w:t>National Found</w:t>
      </w:r>
      <w:r w:rsidRPr="00F71EFE">
        <w:rPr>
          <w:rFonts w:ascii="Century Gothic" w:hAnsi="Century Gothic"/>
          <w:bCs/>
        </w:rPr>
        <w:t>ation f</w:t>
      </w:r>
      <w:r w:rsidR="00F71EFE" w:rsidRPr="00F71EFE">
        <w:rPr>
          <w:rFonts w:ascii="Century Gothic" w:hAnsi="Century Gothic"/>
          <w:bCs/>
        </w:rPr>
        <w:t>or Education Research:</w:t>
      </w:r>
      <w:r w:rsidRPr="00F71EFE">
        <w:rPr>
          <w:rFonts w:ascii="Century Gothic" w:hAnsi="Century Gothic"/>
          <w:bCs/>
        </w:rPr>
        <w:t xml:space="preserve"> </w:t>
      </w:r>
      <w:hyperlink r:id="rId10" w:history="1">
        <w:r w:rsidR="00F71EFE" w:rsidRPr="007F4CD2">
          <w:rPr>
            <w:rStyle w:val="Hyperlink"/>
            <w:rFonts w:ascii="Century Gothic" w:hAnsi="Century Gothic"/>
            <w:bCs/>
          </w:rPr>
          <w:t>http://www.nfer.ac.uk/publications/LGLC01/LGLC01_home.cfm</w:t>
        </w:r>
      </w:hyperlink>
      <w:proofErr w:type="gramStart"/>
      <w:r w:rsidR="00F71EFE">
        <w:rPr>
          <w:rFonts w:ascii="Century Gothic" w:hAnsi="Century Gothic"/>
          <w:bCs/>
        </w:rPr>
        <w:t xml:space="preserve">  Accessed</w:t>
      </w:r>
      <w:proofErr w:type="gramEnd"/>
      <w:r w:rsidR="00F71EFE">
        <w:rPr>
          <w:rFonts w:ascii="Century Gothic" w:hAnsi="Century Gothic"/>
          <w:bCs/>
        </w:rPr>
        <w:t xml:space="preserve"> August 2015</w:t>
      </w:r>
    </w:p>
    <w:p w:rsidR="00F71EFE" w:rsidRPr="00F71EFE" w:rsidRDefault="00F71EFE" w:rsidP="00F71EFE">
      <w:pPr>
        <w:rPr>
          <w:rFonts w:ascii="Century Gothic" w:hAnsi="Century Gothic"/>
          <w:lang w:val="en-GB"/>
        </w:rPr>
      </w:pPr>
    </w:p>
    <w:p w:rsidR="004A6E95" w:rsidRDefault="004A6E95" w:rsidP="004A6E95">
      <w:pPr>
        <w:numPr>
          <w:ilvl w:val="0"/>
          <w:numId w:val="13"/>
        </w:numPr>
        <w:spacing w:after="120"/>
        <w:rPr>
          <w:rFonts w:ascii="Century Gothic" w:hAnsi="Century Gothic"/>
          <w:szCs w:val="22"/>
        </w:rPr>
      </w:pPr>
      <w:r w:rsidRPr="00F71EFE">
        <w:rPr>
          <w:rFonts w:ascii="Century Gothic" w:hAnsi="Century Gothic"/>
          <w:szCs w:val="22"/>
        </w:rPr>
        <w:t>Field</w:t>
      </w:r>
      <w:r>
        <w:rPr>
          <w:rFonts w:ascii="Century Gothic" w:hAnsi="Century Gothic"/>
          <w:szCs w:val="22"/>
        </w:rPr>
        <w:t>, F. (2010)</w:t>
      </w:r>
      <w:r w:rsidRPr="00F71EFE">
        <w:rPr>
          <w:rFonts w:ascii="Century Gothic" w:hAnsi="Century Gothic"/>
          <w:szCs w:val="22"/>
        </w:rPr>
        <w:t xml:space="preserve"> </w:t>
      </w:r>
      <w:r w:rsidRPr="004A6E95">
        <w:rPr>
          <w:rFonts w:ascii="Century Gothic" w:hAnsi="Century Gothic"/>
          <w:i/>
          <w:szCs w:val="22"/>
        </w:rPr>
        <w:t>The Foundation Years: preventing poor children becoming poor adults. Report of the Independent Review on Poverty and Life Chances</w:t>
      </w:r>
      <w:r>
        <w:rPr>
          <w:rFonts w:ascii="Century Gothic" w:hAnsi="Century Gothic"/>
          <w:i/>
          <w:szCs w:val="22"/>
        </w:rPr>
        <w:t xml:space="preserve">.  </w:t>
      </w:r>
      <w:r w:rsidRPr="004A6E95">
        <w:rPr>
          <w:rFonts w:ascii="Century Gothic" w:hAnsi="Century Gothic"/>
          <w:szCs w:val="22"/>
        </w:rPr>
        <w:t>Poverty and Social Exclusion:</w:t>
      </w:r>
      <w:r>
        <w:rPr>
          <w:rFonts w:ascii="Century Gothic" w:hAnsi="Century Gothic"/>
          <w:szCs w:val="22"/>
        </w:rPr>
        <w:t xml:space="preserve"> </w:t>
      </w:r>
      <w:hyperlink r:id="rId11" w:history="1">
        <w:r w:rsidRPr="007F4CD2">
          <w:rPr>
            <w:rStyle w:val="Hyperlink"/>
            <w:rFonts w:ascii="Century Gothic" w:hAnsi="Century Gothic"/>
            <w:szCs w:val="22"/>
          </w:rPr>
          <w:t>http://www.poverty.ac.uk/report-poverty-measurement-life-chances-children-parenting-uk-government-policy/field-review</w:t>
        </w:r>
      </w:hyperlink>
      <w:proofErr w:type="gramStart"/>
      <w:r>
        <w:rPr>
          <w:rFonts w:ascii="Century Gothic" w:hAnsi="Century Gothic"/>
          <w:szCs w:val="22"/>
        </w:rPr>
        <w:t xml:space="preserve">  Accessed</w:t>
      </w:r>
      <w:proofErr w:type="gramEnd"/>
      <w:r>
        <w:rPr>
          <w:rFonts w:ascii="Century Gothic" w:hAnsi="Century Gothic"/>
          <w:szCs w:val="22"/>
        </w:rPr>
        <w:t xml:space="preserve"> August 2015</w:t>
      </w:r>
    </w:p>
    <w:p w:rsidR="004A6E95" w:rsidRDefault="004A6E95" w:rsidP="004A6E95">
      <w:pPr>
        <w:spacing w:after="120"/>
        <w:rPr>
          <w:rFonts w:ascii="Century Gothic" w:hAnsi="Century Gothic"/>
          <w:szCs w:val="22"/>
        </w:rPr>
      </w:pPr>
    </w:p>
    <w:p w:rsidR="00D64FEC" w:rsidRPr="00F71EFE" w:rsidRDefault="00D64FEC" w:rsidP="0046087D">
      <w:pPr>
        <w:pStyle w:val="ListParagraph"/>
        <w:numPr>
          <w:ilvl w:val="0"/>
          <w:numId w:val="13"/>
        </w:numPr>
        <w:rPr>
          <w:rFonts w:ascii="Century Gothic" w:hAnsi="Century Gothic"/>
          <w:lang w:val="en-GB"/>
        </w:rPr>
      </w:pPr>
      <w:r w:rsidRPr="00F71EFE">
        <w:rPr>
          <w:rFonts w:ascii="Century Gothic" w:hAnsi="Century Gothic"/>
          <w:lang w:val="en-GB"/>
        </w:rPr>
        <w:t>Institute of Education (2007</w:t>
      </w:r>
      <w:proofErr w:type="gramStart"/>
      <w:r w:rsidRPr="00F71EFE">
        <w:rPr>
          <w:rFonts w:ascii="Century Gothic" w:hAnsi="Century Gothic"/>
          <w:lang w:val="en-GB"/>
        </w:rPr>
        <w:t xml:space="preserve">)  </w:t>
      </w:r>
      <w:r w:rsidRPr="00F71EFE">
        <w:rPr>
          <w:rFonts w:ascii="Century Gothic" w:hAnsi="Century Gothic"/>
          <w:i/>
          <w:iCs/>
        </w:rPr>
        <w:t>The</w:t>
      </w:r>
      <w:proofErr w:type="gramEnd"/>
      <w:r w:rsidRPr="00F71EFE">
        <w:rPr>
          <w:rFonts w:ascii="Century Gothic" w:hAnsi="Century Gothic"/>
          <w:i/>
          <w:iCs/>
        </w:rPr>
        <w:t xml:space="preserve"> National Behaviour and Attendance Review, Interim Report.</w:t>
      </w:r>
    </w:p>
    <w:p w:rsidR="00D64FEC" w:rsidRPr="00D64FEC" w:rsidRDefault="00D64FEC" w:rsidP="00D64FEC">
      <w:pPr>
        <w:rPr>
          <w:rFonts w:ascii="Century Gothic" w:hAnsi="Century Gothic"/>
          <w:lang w:val="en-GB"/>
        </w:rPr>
      </w:pPr>
    </w:p>
    <w:p w:rsidR="00F71EFE" w:rsidRDefault="00F71EFE" w:rsidP="00F71EFE">
      <w:pPr>
        <w:numPr>
          <w:ilvl w:val="0"/>
          <w:numId w:val="13"/>
        </w:numPr>
        <w:spacing w:after="120"/>
        <w:rPr>
          <w:rFonts w:ascii="Century Gothic" w:hAnsi="Century Gothic"/>
          <w:szCs w:val="22"/>
        </w:rPr>
      </w:pPr>
      <w:r>
        <w:rPr>
          <w:rFonts w:ascii="Century Gothic" w:hAnsi="Century Gothic"/>
          <w:szCs w:val="22"/>
        </w:rPr>
        <w:t>Marmot, M. (2010)</w:t>
      </w:r>
      <w:r w:rsidRPr="00661DFB">
        <w:rPr>
          <w:rFonts w:ascii="Century Gothic" w:hAnsi="Century Gothic"/>
          <w:szCs w:val="22"/>
        </w:rPr>
        <w:t xml:space="preserve"> </w:t>
      </w:r>
      <w:r w:rsidRPr="00F71EFE">
        <w:rPr>
          <w:rFonts w:ascii="Century Gothic" w:hAnsi="Century Gothic"/>
          <w:i/>
          <w:szCs w:val="22"/>
        </w:rPr>
        <w:t>Fair Society, Healthy Lives</w:t>
      </w:r>
      <w:r>
        <w:rPr>
          <w:rFonts w:ascii="Century Gothic" w:hAnsi="Century Gothic"/>
          <w:szCs w:val="22"/>
        </w:rPr>
        <w:t xml:space="preserve">.  UCL Institute of Healthy Living: </w:t>
      </w:r>
      <w:hyperlink r:id="rId12" w:history="1">
        <w:r w:rsidRPr="007F4CD2">
          <w:rPr>
            <w:rStyle w:val="Hyperlink"/>
            <w:rFonts w:ascii="Century Gothic" w:hAnsi="Century Gothic"/>
            <w:szCs w:val="22"/>
          </w:rPr>
          <w:t>http://www.instituteofhealthequity.org/projects/fair-society-healthy-lives-the-marmot-review</w:t>
        </w:r>
      </w:hyperlink>
      <w:r>
        <w:rPr>
          <w:rFonts w:ascii="Century Gothic" w:hAnsi="Century Gothic"/>
          <w:szCs w:val="22"/>
        </w:rPr>
        <w:t>.  Accessed august 2015</w:t>
      </w:r>
    </w:p>
    <w:p w:rsidR="00F71EFE" w:rsidRPr="00F71EFE" w:rsidRDefault="00F71EFE" w:rsidP="00F71EFE">
      <w:pPr>
        <w:rPr>
          <w:rFonts w:ascii="Century Gothic" w:hAnsi="Century Gothic"/>
          <w:lang w:val="en-GB"/>
        </w:rPr>
      </w:pPr>
    </w:p>
    <w:p w:rsidR="00871C6D" w:rsidRDefault="00871C6D" w:rsidP="0046087D">
      <w:pPr>
        <w:numPr>
          <w:ilvl w:val="0"/>
          <w:numId w:val="13"/>
        </w:numPr>
        <w:spacing w:after="120"/>
        <w:rPr>
          <w:rFonts w:ascii="Century Gothic" w:hAnsi="Century Gothic"/>
          <w:szCs w:val="22"/>
        </w:rPr>
      </w:pPr>
      <w:r w:rsidRPr="00661DFB">
        <w:rPr>
          <w:rFonts w:ascii="Century Gothic" w:hAnsi="Century Gothic"/>
          <w:szCs w:val="22"/>
        </w:rPr>
        <w:t>Munro</w:t>
      </w:r>
      <w:r>
        <w:rPr>
          <w:rFonts w:ascii="Century Gothic" w:hAnsi="Century Gothic"/>
          <w:szCs w:val="22"/>
        </w:rPr>
        <w:t>, E. (2011)</w:t>
      </w:r>
      <w:r w:rsidRPr="00661DFB">
        <w:rPr>
          <w:rFonts w:ascii="Century Gothic" w:hAnsi="Century Gothic"/>
          <w:szCs w:val="22"/>
        </w:rPr>
        <w:t xml:space="preserve"> </w:t>
      </w:r>
      <w:r w:rsidRPr="00871C6D">
        <w:rPr>
          <w:rFonts w:ascii="Century Gothic" w:hAnsi="Century Gothic"/>
          <w:i/>
          <w:szCs w:val="22"/>
        </w:rPr>
        <w:t>Review of Child Protection Final Report</w:t>
      </w:r>
      <w:r>
        <w:rPr>
          <w:rFonts w:ascii="Century Gothic" w:hAnsi="Century Gothic"/>
          <w:szCs w:val="22"/>
        </w:rPr>
        <w:t xml:space="preserve">.  Gov.uk Publication: </w:t>
      </w:r>
      <w:hyperlink r:id="rId13" w:history="1">
        <w:r w:rsidRPr="007F4CD2">
          <w:rPr>
            <w:rStyle w:val="Hyperlink"/>
            <w:rFonts w:ascii="Century Gothic" w:hAnsi="Century Gothic"/>
            <w:szCs w:val="22"/>
          </w:rPr>
          <w:t>https://www.gov.uk/government/uploads/system/uploads/attachment_data/file/175391/Munro-Review.pdf</w:t>
        </w:r>
      </w:hyperlink>
      <w:proofErr w:type="gramStart"/>
      <w:r>
        <w:rPr>
          <w:rFonts w:ascii="Century Gothic" w:hAnsi="Century Gothic"/>
          <w:szCs w:val="22"/>
        </w:rPr>
        <w:t xml:space="preserve">  Accessed</w:t>
      </w:r>
      <w:proofErr w:type="gramEnd"/>
      <w:r>
        <w:rPr>
          <w:rFonts w:ascii="Century Gothic" w:hAnsi="Century Gothic"/>
          <w:szCs w:val="22"/>
        </w:rPr>
        <w:t xml:space="preserve"> August 2015</w:t>
      </w:r>
    </w:p>
    <w:p w:rsidR="00871C6D" w:rsidRDefault="00871C6D" w:rsidP="00871C6D">
      <w:pPr>
        <w:spacing w:after="120"/>
        <w:rPr>
          <w:rFonts w:ascii="Century Gothic" w:hAnsi="Century Gothic"/>
          <w:szCs w:val="22"/>
        </w:rPr>
      </w:pPr>
    </w:p>
    <w:p w:rsidR="00D014F9" w:rsidRPr="00D64FEC" w:rsidRDefault="0046087D" w:rsidP="0046087D">
      <w:pPr>
        <w:pStyle w:val="ListParagraph"/>
        <w:numPr>
          <w:ilvl w:val="0"/>
          <w:numId w:val="13"/>
        </w:numPr>
        <w:rPr>
          <w:rFonts w:ascii="Century Gothic" w:hAnsi="Century Gothic"/>
          <w:lang w:val="en-GB"/>
        </w:rPr>
      </w:pPr>
      <w:proofErr w:type="spellStart"/>
      <w:r w:rsidRPr="00D64FEC">
        <w:rPr>
          <w:rFonts w:ascii="Century Gothic" w:hAnsi="Century Gothic"/>
          <w:lang w:val="en-GB"/>
        </w:rPr>
        <w:t>Ofsted</w:t>
      </w:r>
      <w:proofErr w:type="spellEnd"/>
      <w:r w:rsidRPr="00D64FEC">
        <w:rPr>
          <w:rFonts w:ascii="Century Gothic" w:hAnsi="Century Gothic"/>
          <w:lang w:val="en-GB"/>
        </w:rPr>
        <w:t xml:space="preserve"> (2015) </w:t>
      </w:r>
      <w:r w:rsidRPr="00D64FEC">
        <w:rPr>
          <w:rFonts w:ascii="Century Gothic" w:hAnsi="Century Gothic"/>
          <w:i/>
          <w:lang w:val="en-GB"/>
        </w:rPr>
        <w:t xml:space="preserve">Early help: whose responsibility? </w:t>
      </w:r>
      <w:r w:rsidRPr="00D64FEC">
        <w:rPr>
          <w:rFonts w:ascii="Century Gothic" w:hAnsi="Century Gothic"/>
          <w:lang w:val="en-GB"/>
        </w:rPr>
        <w:t xml:space="preserve">Gov.uk publications: </w:t>
      </w:r>
      <w:hyperlink r:id="rId14" w:history="1">
        <w:r w:rsidRPr="00D64FEC">
          <w:rPr>
            <w:rStyle w:val="Hyperlink"/>
            <w:rFonts w:ascii="Century Gothic" w:hAnsi="Century Gothic"/>
            <w:lang w:val="en-GB"/>
          </w:rPr>
          <w:t>https://www.gov.uk/government/publications/early-help-whose-responsibility</w:t>
        </w:r>
      </w:hyperlink>
      <w:proofErr w:type="gramStart"/>
      <w:r w:rsidRPr="00D64FEC">
        <w:rPr>
          <w:rFonts w:ascii="Century Gothic" w:hAnsi="Century Gothic"/>
          <w:lang w:val="en-GB"/>
        </w:rPr>
        <w:t xml:space="preserve">  Accessed</w:t>
      </w:r>
      <w:proofErr w:type="gramEnd"/>
      <w:r w:rsidRPr="00D64FEC">
        <w:rPr>
          <w:rFonts w:ascii="Century Gothic" w:hAnsi="Century Gothic"/>
          <w:lang w:val="en-GB"/>
        </w:rPr>
        <w:t xml:space="preserve"> August 2015</w:t>
      </w:r>
    </w:p>
    <w:p w:rsidR="00D014F9" w:rsidRPr="00D014F9" w:rsidRDefault="00D014F9" w:rsidP="00D014F9">
      <w:pPr>
        <w:rPr>
          <w:rFonts w:ascii="Century Gothic" w:hAnsi="Century Gothic"/>
          <w:lang w:val="en-GB"/>
        </w:rPr>
      </w:pPr>
    </w:p>
    <w:p w:rsidR="00D014F9" w:rsidRDefault="00D014F9" w:rsidP="0046087D">
      <w:pPr>
        <w:pStyle w:val="ListParagraph"/>
        <w:numPr>
          <w:ilvl w:val="0"/>
          <w:numId w:val="13"/>
        </w:numPr>
        <w:rPr>
          <w:rFonts w:ascii="Century Gothic" w:hAnsi="Century Gothic"/>
          <w:lang w:val="en-GB"/>
        </w:rPr>
      </w:pPr>
      <w:r>
        <w:rPr>
          <w:rFonts w:ascii="Century Gothic" w:hAnsi="Century Gothic"/>
          <w:lang w:val="en-GB"/>
        </w:rPr>
        <w:t>Selwyn, R (2015</w:t>
      </w:r>
      <w:proofErr w:type="gramStart"/>
      <w:r>
        <w:rPr>
          <w:rFonts w:ascii="Century Gothic" w:hAnsi="Century Gothic"/>
          <w:lang w:val="en-GB"/>
        </w:rPr>
        <w:t xml:space="preserve">)  </w:t>
      </w:r>
      <w:r w:rsidR="00D92774">
        <w:rPr>
          <w:rFonts w:ascii="Century Gothic" w:hAnsi="Century Gothic"/>
          <w:i/>
          <w:lang w:val="en-GB"/>
        </w:rPr>
        <w:t>Pillars</w:t>
      </w:r>
      <w:proofErr w:type="gramEnd"/>
      <w:r w:rsidR="00D92774">
        <w:rPr>
          <w:rFonts w:ascii="Century Gothic" w:hAnsi="Century Gothic"/>
          <w:i/>
          <w:lang w:val="en-GB"/>
        </w:rPr>
        <w:t xml:space="preserve"> and F</w:t>
      </w:r>
      <w:r w:rsidRPr="00D92774">
        <w:rPr>
          <w:rFonts w:ascii="Century Gothic" w:hAnsi="Century Gothic"/>
          <w:i/>
          <w:lang w:val="en-GB"/>
        </w:rPr>
        <w:t>oundations.</w:t>
      </w:r>
      <w:r w:rsidR="00D92774" w:rsidRPr="00D92774">
        <w:rPr>
          <w:rFonts w:ascii="Century Gothic" w:hAnsi="Century Gothic"/>
          <w:i/>
          <w:lang w:val="en-GB"/>
        </w:rPr>
        <w:t xml:space="preserve"> Next practice in children’</w:t>
      </w:r>
      <w:r w:rsidR="00D92774">
        <w:rPr>
          <w:rFonts w:ascii="Century Gothic" w:hAnsi="Century Gothic"/>
          <w:i/>
          <w:lang w:val="en-GB"/>
        </w:rPr>
        <w:t>s services</w:t>
      </w:r>
      <w:r w:rsidR="00D92774" w:rsidRPr="00D92774">
        <w:rPr>
          <w:rFonts w:ascii="Century Gothic" w:hAnsi="Century Gothic"/>
          <w:i/>
          <w:lang w:val="en-GB"/>
        </w:rPr>
        <w:t>.</w:t>
      </w:r>
      <w:r w:rsidRPr="00D92774">
        <w:rPr>
          <w:rFonts w:ascii="Century Gothic" w:hAnsi="Century Gothic"/>
          <w:i/>
          <w:lang w:val="en-GB"/>
        </w:rPr>
        <w:t xml:space="preserve">  Conference paper.</w:t>
      </w:r>
      <w:r>
        <w:rPr>
          <w:rFonts w:ascii="Century Gothic" w:hAnsi="Century Gothic"/>
          <w:lang w:val="en-GB"/>
        </w:rPr>
        <w:t xml:space="preserve">  ADCS: </w:t>
      </w:r>
      <w:hyperlink r:id="rId15" w:history="1">
        <w:r w:rsidRPr="007F4CD2">
          <w:rPr>
            <w:rStyle w:val="Hyperlink"/>
            <w:rFonts w:ascii="Century Gothic" w:hAnsi="Century Gothic"/>
            <w:lang w:val="en-GB"/>
          </w:rPr>
          <w:t>http://www.academyforjusticecommissioning.org.uk/wp-content/uploads/2015/02/Early-help-or-bust-Pillars-Foundations-Next-Practice-in-Childrens-Services.pdf</w:t>
        </w:r>
      </w:hyperlink>
      <w:proofErr w:type="gramStart"/>
      <w:r>
        <w:rPr>
          <w:rFonts w:ascii="Century Gothic" w:hAnsi="Century Gothic"/>
          <w:lang w:val="en-GB"/>
        </w:rPr>
        <w:t xml:space="preserve">  Accessed</w:t>
      </w:r>
      <w:proofErr w:type="gramEnd"/>
      <w:r>
        <w:rPr>
          <w:rFonts w:ascii="Century Gothic" w:hAnsi="Century Gothic"/>
          <w:lang w:val="en-GB"/>
        </w:rPr>
        <w:t xml:space="preserve"> August 2015.</w:t>
      </w:r>
    </w:p>
    <w:p w:rsidR="00D014F9" w:rsidRPr="00D014F9" w:rsidRDefault="00D014F9" w:rsidP="00D014F9">
      <w:pPr>
        <w:rPr>
          <w:rFonts w:ascii="Century Gothic" w:hAnsi="Century Gothic"/>
          <w:lang w:val="en-GB"/>
        </w:rPr>
      </w:pPr>
    </w:p>
    <w:p w:rsidR="005E77A1" w:rsidRDefault="004A6E95" w:rsidP="004A6E95">
      <w:pPr>
        <w:pStyle w:val="ListParagraph"/>
        <w:numPr>
          <w:ilvl w:val="0"/>
          <w:numId w:val="13"/>
        </w:numPr>
        <w:rPr>
          <w:rFonts w:ascii="Century Gothic" w:hAnsi="Century Gothic"/>
        </w:rPr>
      </w:pPr>
      <w:proofErr w:type="spellStart"/>
      <w:r>
        <w:rPr>
          <w:rFonts w:ascii="Century Gothic" w:hAnsi="Century Gothic"/>
        </w:rPr>
        <w:t>Tickell</w:t>
      </w:r>
      <w:proofErr w:type="spellEnd"/>
      <w:r w:rsidR="005E77A1">
        <w:rPr>
          <w:rFonts w:ascii="Century Gothic" w:hAnsi="Century Gothic"/>
        </w:rPr>
        <w:t>, C.</w:t>
      </w:r>
      <w:r>
        <w:rPr>
          <w:rFonts w:ascii="Century Gothic" w:hAnsi="Century Gothic"/>
        </w:rPr>
        <w:t xml:space="preserve"> (2011)</w:t>
      </w:r>
      <w:r w:rsidRPr="004A6E95">
        <w:rPr>
          <w:rFonts w:ascii="Century Gothic" w:hAnsi="Century Gothic"/>
        </w:rPr>
        <w:t xml:space="preserve"> </w:t>
      </w:r>
      <w:r w:rsidRPr="004A6E95">
        <w:rPr>
          <w:rFonts w:ascii="Century Gothic" w:hAnsi="Century Gothic"/>
          <w:i/>
        </w:rPr>
        <w:t>The Early Years: Foundation for Life, Health and Learning</w:t>
      </w:r>
      <w:r>
        <w:rPr>
          <w:rFonts w:ascii="Century Gothic" w:hAnsi="Century Gothic"/>
        </w:rPr>
        <w:t xml:space="preserve">  - </w:t>
      </w:r>
      <w:proofErr w:type="spellStart"/>
      <w:r>
        <w:rPr>
          <w:rFonts w:ascii="Century Gothic" w:hAnsi="Century Gothic"/>
        </w:rPr>
        <w:t>Tickell</w:t>
      </w:r>
      <w:proofErr w:type="spellEnd"/>
      <w:r>
        <w:rPr>
          <w:rFonts w:ascii="Century Gothic" w:hAnsi="Century Gothic"/>
        </w:rPr>
        <w:t xml:space="preserve"> Review.  </w:t>
      </w:r>
      <w:proofErr w:type="spellStart"/>
      <w:r>
        <w:rPr>
          <w:rFonts w:ascii="Century Gothic" w:hAnsi="Century Gothic"/>
        </w:rPr>
        <w:t>Gov</w:t>
      </w:r>
      <w:proofErr w:type="gramStart"/>
      <w:r>
        <w:rPr>
          <w:rFonts w:ascii="Century Gothic" w:hAnsi="Century Gothic"/>
        </w:rPr>
        <w:t>,uk</w:t>
      </w:r>
      <w:proofErr w:type="spellEnd"/>
      <w:proofErr w:type="gramEnd"/>
      <w:r>
        <w:rPr>
          <w:rFonts w:ascii="Century Gothic" w:hAnsi="Century Gothic"/>
        </w:rPr>
        <w:t xml:space="preserve"> Publication: </w:t>
      </w:r>
      <w:r w:rsidRPr="004A6E95">
        <w:rPr>
          <w:rFonts w:ascii="Century Gothic" w:hAnsi="Century Gothic"/>
        </w:rPr>
        <w:t xml:space="preserve"> </w:t>
      </w:r>
      <w:hyperlink r:id="rId16" w:history="1">
        <w:r w:rsidR="005E77A1" w:rsidRPr="007F4CD2">
          <w:rPr>
            <w:rStyle w:val="Hyperlink"/>
            <w:rFonts w:ascii="Century Gothic" w:hAnsi="Century Gothic"/>
          </w:rPr>
          <w:t>https://www.gov.uk/government/collections/tickell-review-reports</w:t>
        </w:r>
      </w:hyperlink>
      <w:r w:rsidR="005E77A1">
        <w:rPr>
          <w:rFonts w:ascii="Century Gothic" w:hAnsi="Century Gothic"/>
        </w:rPr>
        <w:t xml:space="preserve">  Accessed August 2015.</w:t>
      </w:r>
    </w:p>
    <w:p w:rsidR="005E77A1" w:rsidRPr="005E77A1" w:rsidRDefault="005E77A1" w:rsidP="005E77A1">
      <w:pPr>
        <w:rPr>
          <w:rFonts w:ascii="Century Gothic" w:hAnsi="Century Gothic"/>
        </w:rPr>
      </w:pPr>
    </w:p>
    <w:p w:rsidR="00B26D5C" w:rsidRPr="005E77A1" w:rsidRDefault="005E77A1" w:rsidP="005E77A1">
      <w:pPr>
        <w:rPr>
          <w:rFonts w:ascii="Century Gothic" w:hAnsi="Century Gothic"/>
        </w:rPr>
      </w:pPr>
      <w:r>
        <w:rPr>
          <w:rFonts w:ascii="Century Gothic" w:hAnsi="Century Gothic"/>
        </w:rPr>
        <w:tab/>
      </w:r>
    </w:p>
    <w:sectPr w:rsidR="00B26D5C" w:rsidRPr="005E77A1" w:rsidSect="00B26D5C">
      <w:headerReference w:type="even" r:id="rId17"/>
      <w:headerReference w:type="default" r:id="rId18"/>
      <w:footerReference w:type="even" r:id="rId19"/>
      <w:footerReference w:type="default" r:id="rId20"/>
      <w:headerReference w:type="first" r:id="rId21"/>
      <w:footerReference w:type="first" r:id="rId2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95" w:rsidRDefault="009A191D" w:rsidP="00E47860">
    <w:pPr>
      <w:pStyle w:val="Footer"/>
      <w:framePr w:wrap="around" w:vAnchor="text" w:hAnchor="margin" w:xAlign="right" w:y="1"/>
      <w:rPr>
        <w:rStyle w:val="PageNumber"/>
      </w:rPr>
    </w:pPr>
    <w:r>
      <w:rPr>
        <w:rStyle w:val="PageNumber"/>
      </w:rPr>
      <w:fldChar w:fldCharType="begin"/>
    </w:r>
    <w:r w:rsidR="004A6E95">
      <w:rPr>
        <w:rStyle w:val="PageNumber"/>
      </w:rPr>
      <w:instrText xml:space="preserve">PAGE  </w:instrText>
    </w:r>
    <w:r>
      <w:rPr>
        <w:rStyle w:val="PageNumber"/>
      </w:rPr>
      <w:fldChar w:fldCharType="end"/>
    </w:r>
  </w:p>
  <w:p w:rsidR="004A6E95" w:rsidRDefault="004A6E95" w:rsidP="00661DF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95" w:rsidRDefault="009A191D" w:rsidP="00E47860">
    <w:pPr>
      <w:pStyle w:val="Footer"/>
      <w:framePr w:wrap="around" w:vAnchor="text" w:hAnchor="margin" w:xAlign="right" w:y="1"/>
      <w:rPr>
        <w:rStyle w:val="PageNumber"/>
      </w:rPr>
    </w:pPr>
    <w:r>
      <w:rPr>
        <w:rStyle w:val="PageNumber"/>
      </w:rPr>
      <w:fldChar w:fldCharType="begin"/>
    </w:r>
    <w:r w:rsidR="004A6E95">
      <w:rPr>
        <w:rStyle w:val="PageNumber"/>
      </w:rPr>
      <w:instrText xml:space="preserve">PAGE  </w:instrText>
    </w:r>
    <w:r>
      <w:rPr>
        <w:rStyle w:val="PageNumber"/>
      </w:rPr>
      <w:fldChar w:fldCharType="separate"/>
    </w:r>
    <w:r w:rsidR="00FB1D87">
      <w:rPr>
        <w:rStyle w:val="PageNumber"/>
        <w:noProof/>
      </w:rPr>
      <w:t>6</w:t>
    </w:r>
    <w:r>
      <w:rPr>
        <w:rStyle w:val="PageNumber"/>
      </w:rPr>
      <w:fldChar w:fldCharType="end"/>
    </w:r>
  </w:p>
  <w:p w:rsidR="004A6E95" w:rsidRDefault="004A6E95" w:rsidP="00661DFB">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95" w:rsidRDefault="004A6E95">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95" w:rsidRDefault="004A6E9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95" w:rsidRDefault="004A6E95">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95" w:rsidRDefault="004A6E9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883"/>
    <w:multiLevelType w:val="hybridMultilevel"/>
    <w:tmpl w:val="5F7A64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CA09F4"/>
    <w:multiLevelType w:val="hybridMultilevel"/>
    <w:tmpl w:val="18DE7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96D62"/>
    <w:multiLevelType w:val="hybridMultilevel"/>
    <w:tmpl w:val="F5464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082F73"/>
    <w:multiLevelType w:val="hybridMultilevel"/>
    <w:tmpl w:val="2DDE1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334D8"/>
    <w:multiLevelType w:val="hybridMultilevel"/>
    <w:tmpl w:val="E77C1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65AEA"/>
    <w:multiLevelType w:val="hybridMultilevel"/>
    <w:tmpl w:val="16925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774EA"/>
    <w:multiLevelType w:val="hybridMultilevel"/>
    <w:tmpl w:val="297E1C4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627192"/>
    <w:multiLevelType w:val="multilevel"/>
    <w:tmpl w:val="EBFE026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D6D4604"/>
    <w:multiLevelType w:val="hybridMultilevel"/>
    <w:tmpl w:val="7EFE7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D73AA"/>
    <w:multiLevelType w:val="hybridMultilevel"/>
    <w:tmpl w:val="FEE88ED4"/>
    <w:lvl w:ilvl="0" w:tplc="0809000F">
      <w:start w:val="1"/>
      <w:numFmt w:val="decimal"/>
      <w:lvlText w:val="%1."/>
      <w:lvlJc w:val="left"/>
      <w:pPr>
        <w:ind w:left="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03434"/>
    <w:multiLevelType w:val="hybridMultilevel"/>
    <w:tmpl w:val="EBFE02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706253"/>
    <w:multiLevelType w:val="hybridMultilevel"/>
    <w:tmpl w:val="CB981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497BEA"/>
    <w:multiLevelType w:val="hybridMultilevel"/>
    <w:tmpl w:val="25187B9C"/>
    <w:lvl w:ilvl="0" w:tplc="901E572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8"/>
  </w:num>
  <w:num w:numId="5">
    <w:abstractNumId w:val="1"/>
  </w:num>
  <w:num w:numId="6">
    <w:abstractNumId w:val="5"/>
  </w:num>
  <w:num w:numId="7">
    <w:abstractNumId w:val="3"/>
  </w:num>
  <w:num w:numId="8">
    <w:abstractNumId w:val="12"/>
  </w:num>
  <w:num w:numId="9">
    <w:abstractNumId w:val="0"/>
  </w:num>
  <w:num w:numId="10">
    <w:abstractNumId w:val="11"/>
  </w:num>
  <w:num w:numId="11">
    <w:abstractNumId w:val="1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9B2153"/>
    <w:rsid w:val="000752CD"/>
    <w:rsid w:val="001170AB"/>
    <w:rsid w:val="00135E82"/>
    <w:rsid w:val="001C376A"/>
    <w:rsid w:val="001E051D"/>
    <w:rsid w:val="00391792"/>
    <w:rsid w:val="003B2F50"/>
    <w:rsid w:val="0046087D"/>
    <w:rsid w:val="004A6E95"/>
    <w:rsid w:val="00585C3A"/>
    <w:rsid w:val="005E2796"/>
    <w:rsid w:val="005E77A1"/>
    <w:rsid w:val="00643500"/>
    <w:rsid w:val="00661DFB"/>
    <w:rsid w:val="00842539"/>
    <w:rsid w:val="008466AC"/>
    <w:rsid w:val="00846D84"/>
    <w:rsid w:val="00871C6D"/>
    <w:rsid w:val="009A191D"/>
    <w:rsid w:val="009B2153"/>
    <w:rsid w:val="00B26D5C"/>
    <w:rsid w:val="00BA4023"/>
    <w:rsid w:val="00BB4171"/>
    <w:rsid w:val="00C23ED8"/>
    <w:rsid w:val="00C24C60"/>
    <w:rsid w:val="00C60237"/>
    <w:rsid w:val="00C77AAD"/>
    <w:rsid w:val="00D014F9"/>
    <w:rsid w:val="00D64FEC"/>
    <w:rsid w:val="00D92774"/>
    <w:rsid w:val="00E26EAC"/>
    <w:rsid w:val="00E47860"/>
    <w:rsid w:val="00F71EFE"/>
    <w:rsid w:val="00FB1D87"/>
    <w:rsid w:val="00FC56A1"/>
    <w:rsid w:val="00FF2EBD"/>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064F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B2153"/>
    <w:pPr>
      <w:ind w:left="720"/>
      <w:contextualSpacing/>
    </w:pPr>
  </w:style>
  <w:style w:type="paragraph" w:styleId="Footer">
    <w:name w:val="footer"/>
    <w:basedOn w:val="Normal"/>
    <w:link w:val="FooterChar"/>
    <w:rsid w:val="00661DFB"/>
    <w:pPr>
      <w:tabs>
        <w:tab w:val="center" w:pos="4320"/>
        <w:tab w:val="right" w:pos="8640"/>
      </w:tabs>
    </w:pPr>
  </w:style>
  <w:style w:type="character" w:customStyle="1" w:styleId="FooterChar">
    <w:name w:val="Footer Char"/>
    <w:basedOn w:val="DefaultParagraphFont"/>
    <w:link w:val="Footer"/>
    <w:rsid w:val="00661DFB"/>
  </w:style>
  <w:style w:type="character" w:styleId="PageNumber">
    <w:name w:val="page number"/>
    <w:basedOn w:val="DefaultParagraphFont"/>
    <w:rsid w:val="00661DFB"/>
  </w:style>
  <w:style w:type="character" w:styleId="Hyperlink">
    <w:name w:val="Hyperlink"/>
    <w:basedOn w:val="DefaultParagraphFont"/>
    <w:rsid w:val="00C23ED8"/>
    <w:rPr>
      <w:color w:val="0000FF" w:themeColor="hyperlink"/>
      <w:u w:val="single"/>
    </w:rPr>
  </w:style>
  <w:style w:type="paragraph" w:styleId="Header">
    <w:name w:val="header"/>
    <w:basedOn w:val="Normal"/>
    <w:link w:val="HeaderChar"/>
    <w:rsid w:val="00FC56A1"/>
    <w:pPr>
      <w:tabs>
        <w:tab w:val="center" w:pos="4320"/>
        <w:tab w:val="right" w:pos="8640"/>
      </w:tabs>
    </w:pPr>
  </w:style>
  <w:style w:type="character" w:customStyle="1" w:styleId="HeaderChar">
    <w:name w:val="Header Char"/>
    <w:basedOn w:val="DefaultParagraphFont"/>
    <w:link w:val="Header"/>
    <w:rsid w:val="00FC56A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era.ioe.ac.uk/11385/1/DCSF-00349-2010.pdf"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nfer.ac.uk/publications/LGLC01/LGLC01_home.cfm" TargetMode="External"/><Relationship Id="rId11" Type="http://schemas.openxmlformats.org/officeDocument/2006/relationships/hyperlink" Target="http://www.poverty.ac.uk/report-poverty-measurement-life-chances-children-parenting-uk-government-policy/field-review" TargetMode="External"/><Relationship Id="rId12" Type="http://schemas.openxmlformats.org/officeDocument/2006/relationships/hyperlink" Target="http://www.instituteofhealthequity.org/projects/fair-society-healthy-lives-the-marmot-review" TargetMode="External"/><Relationship Id="rId13" Type="http://schemas.openxmlformats.org/officeDocument/2006/relationships/hyperlink" Target="https://www.gov.uk/government/uploads/system/uploads/attachment_data/file/175391/Munro-Review.pdf" TargetMode="External"/><Relationship Id="rId14" Type="http://schemas.openxmlformats.org/officeDocument/2006/relationships/hyperlink" Target="https://www.gov.uk/government/publications/early-help-whose-responsibility" TargetMode="External"/><Relationship Id="rId15" Type="http://schemas.openxmlformats.org/officeDocument/2006/relationships/hyperlink" Target="http://www.academyforjusticecommissioning.org.uk/wp-content/uploads/2015/02/Early-help-or-bust-Pillars-Foundations-Next-Practice-in-Childrens-Services.pdf" TargetMode="External"/><Relationship Id="rId16" Type="http://schemas.openxmlformats.org/officeDocument/2006/relationships/hyperlink" Target="https://www.gov.uk/government/collections/tickell-review-reports"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uidebook.eif.org.uk/programmes-library" TargetMode="External"/><Relationship Id="rId6" Type="http://schemas.openxmlformats.org/officeDocument/2006/relationships/hyperlink" Target="http://www.impower.co.uk/wp-content/uploads/impower-research-report-FINAL.pdf" TargetMode="External"/><Relationship Id="rId7" Type="http://schemas.openxmlformats.org/officeDocument/2006/relationships/hyperlink" Target="http://www.eif.org.uk/publication/spending-on-late-intervention-how-we-can-do-better-for-less/" TargetMode="External"/><Relationship Id="rId8" Type="http://schemas.openxmlformats.org/officeDocument/2006/relationships/hyperlink" Target="https://www.gov.uk/government/publications/understanding-troubled-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2242</Words>
  <Characters>12782</Characters>
  <Application>Microsoft Macintosh Word</Application>
  <DocSecurity>0</DocSecurity>
  <Lines>106</Lines>
  <Paragraphs>25</Paragraphs>
  <ScaleCrop>false</ScaleCrop>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Trentham</dc:creator>
  <cp:keywords/>
  <cp:lastModifiedBy>Natalie Trentham</cp:lastModifiedBy>
  <cp:revision>2</cp:revision>
  <dcterms:created xsi:type="dcterms:W3CDTF">2015-11-24T18:17:00Z</dcterms:created>
  <dcterms:modified xsi:type="dcterms:W3CDTF">2015-11-24T18:17:00Z</dcterms:modified>
</cp:coreProperties>
</file>