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4D7BA" w14:textId="77777777" w:rsidR="0057496E" w:rsidRDefault="0057496E" w:rsidP="0057496E">
      <w:pPr>
        <w:jc w:val="center"/>
        <w:rPr>
          <w:b/>
          <w:bCs/>
        </w:rPr>
      </w:pPr>
      <w:r>
        <w:rPr>
          <w:b/>
          <w:bCs/>
        </w:rPr>
        <w:t>SESLIP – DEVELOPING REGIONAL QUALITY ASSURANCE CAPACITY</w:t>
      </w:r>
    </w:p>
    <w:p w14:paraId="3AB4EEC9" w14:textId="455E59B7" w:rsidR="0057496E" w:rsidRDefault="0057496E" w:rsidP="0057496E">
      <w:pPr>
        <w:jc w:val="center"/>
        <w:rPr>
          <w:b/>
          <w:bCs/>
        </w:rPr>
      </w:pPr>
      <w:r>
        <w:rPr>
          <w:b/>
          <w:bCs/>
        </w:rPr>
        <w:t>MEETING OF QA LEADS – 11</w:t>
      </w:r>
      <w:r w:rsidRPr="0057496E">
        <w:rPr>
          <w:b/>
          <w:bCs/>
          <w:vertAlign w:val="superscript"/>
        </w:rPr>
        <w:t>th</w:t>
      </w:r>
      <w:r>
        <w:rPr>
          <w:b/>
          <w:bCs/>
        </w:rPr>
        <w:t xml:space="preserve"> FEBRUARY 2020</w:t>
      </w:r>
    </w:p>
    <w:p w14:paraId="4FA494BA" w14:textId="77EA75D7" w:rsidR="0057496E" w:rsidRDefault="0057496E" w:rsidP="0057496E">
      <w:pPr>
        <w:jc w:val="center"/>
        <w:rPr>
          <w:b/>
          <w:bCs/>
        </w:rPr>
      </w:pPr>
    </w:p>
    <w:p w14:paraId="78B7A3E0" w14:textId="77777777" w:rsidR="0057496E" w:rsidRDefault="0057496E" w:rsidP="00AD5D22">
      <w:pPr>
        <w:rPr>
          <w:b/>
          <w:bCs/>
        </w:rPr>
      </w:pPr>
    </w:p>
    <w:p w14:paraId="35A78BC2" w14:textId="223F8050" w:rsidR="00AD5D22" w:rsidRDefault="00AD5D22" w:rsidP="00AD5D22">
      <w:pPr>
        <w:pStyle w:val="ListParagraph"/>
        <w:numPr>
          <w:ilvl w:val="0"/>
          <w:numId w:val="1"/>
        </w:numPr>
        <w:rPr>
          <w:b/>
          <w:bCs/>
        </w:rPr>
      </w:pPr>
      <w:r w:rsidRPr="00AD5D22">
        <w:rPr>
          <w:b/>
          <w:bCs/>
        </w:rPr>
        <w:t>ATTENDEES</w:t>
      </w:r>
    </w:p>
    <w:tbl>
      <w:tblPr>
        <w:tblStyle w:val="TableGrid"/>
        <w:tblW w:w="0" w:type="auto"/>
        <w:tblLook w:val="04A0" w:firstRow="1" w:lastRow="0" w:firstColumn="1" w:lastColumn="0" w:noHBand="0" w:noVBand="1"/>
      </w:tblPr>
      <w:tblGrid>
        <w:gridCol w:w="2125"/>
        <w:gridCol w:w="2125"/>
        <w:gridCol w:w="2641"/>
        <w:gridCol w:w="2125"/>
      </w:tblGrid>
      <w:tr w:rsidR="00AD5D22" w:rsidRPr="00AD5D22" w14:paraId="5FDB6B38" w14:textId="77777777" w:rsidTr="00AD5D22">
        <w:trPr>
          <w:trHeight w:val="555"/>
        </w:trPr>
        <w:tc>
          <w:tcPr>
            <w:tcW w:w="2140" w:type="dxa"/>
            <w:hideMark/>
          </w:tcPr>
          <w:p w14:paraId="54036820" w14:textId="77777777" w:rsidR="00AD5D22" w:rsidRPr="00AD5D22" w:rsidRDefault="00AD5D22" w:rsidP="00AD5D22">
            <w:pPr>
              <w:pStyle w:val="ListParagraph"/>
            </w:pPr>
            <w:r w:rsidRPr="00AD5D22">
              <w:t>Amanda</w:t>
            </w:r>
          </w:p>
        </w:tc>
        <w:tc>
          <w:tcPr>
            <w:tcW w:w="2140" w:type="dxa"/>
            <w:noWrap/>
            <w:hideMark/>
          </w:tcPr>
          <w:p w14:paraId="21BE7AE1" w14:textId="77777777" w:rsidR="00AD5D22" w:rsidRPr="00AD5D22" w:rsidRDefault="00AD5D22" w:rsidP="00AD5D22">
            <w:pPr>
              <w:pStyle w:val="ListParagraph"/>
            </w:pPr>
            <w:r w:rsidRPr="00AD5D22">
              <w:t>Meadows</w:t>
            </w:r>
          </w:p>
        </w:tc>
        <w:tc>
          <w:tcPr>
            <w:tcW w:w="2660" w:type="dxa"/>
            <w:noWrap/>
            <w:hideMark/>
          </w:tcPr>
          <w:p w14:paraId="237CC8C1" w14:textId="77777777" w:rsidR="00AD5D22" w:rsidRPr="00AD5D22" w:rsidRDefault="00AD5D22" w:rsidP="00AD5D22">
            <w:pPr>
              <w:pStyle w:val="ListParagraph"/>
            </w:pPr>
            <w:r w:rsidRPr="00AD5D22">
              <w:t>Hants</w:t>
            </w:r>
          </w:p>
        </w:tc>
        <w:tc>
          <w:tcPr>
            <w:tcW w:w="2140" w:type="dxa"/>
            <w:noWrap/>
            <w:hideMark/>
          </w:tcPr>
          <w:p w14:paraId="052E64BD" w14:textId="77777777" w:rsidR="00AD5D22" w:rsidRPr="00AD5D22" w:rsidRDefault="00AD5D22" w:rsidP="00AD5D22">
            <w:pPr>
              <w:pStyle w:val="ListParagraph"/>
            </w:pPr>
          </w:p>
        </w:tc>
      </w:tr>
      <w:tr w:rsidR="00AD5D22" w:rsidRPr="00AD5D22" w14:paraId="41C41BF7" w14:textId="77777777" w:rsidTr="00AD5D22">
        <w:trPr>
          <w:trHeight w:val="540"/>
        </w:trPr>
        <w:tc>
          <w:tcPr>
            <w:tcW w:w="2140" w:type="dxa"/>
            <w:noWrap/>
            <w:hideMark/>
          </w:tcPr>
          <w:p w14:paraId="7FAD24E6" w14:textId="77777777" w:rsidR="00AD5D22" w:rsidRPr="00AD5D22" w:rsidRDefault="00AD5D22" w:rsidP="00AD5D22">
            <w:pPr>
              <w:pStyle w:val="ListParagraph"/>
            </w:pPr>
            <w:r w:rsidRPr="00AD5D22">
              <w:t>Denise</w:t>
            </w:r>
          </w:p>
        </w:tc>
        <w:tc>
          <w:tcPr>
            <w:tcW w:w="2140" w:type="dxa"/>
            <w:noWrap/>
            <w:hideMark/>
          </w:tcPr>
          <w:p w14:paraId="306D786D" w14:textId="77777777" w:rsidR="00AD5D22" w:rsidRPr="00AD5D22" w:rsidRDefault="00AD5D22" w:rsidP="00AD5D22">
            <w:pPr>
              <w:pStyle w:val="ListParagraph"/>
            </w:pPr>
            <w:r w:rsidRPr="00AD5D22">
              <w:t xml:space="preserve"> Lingham</w:t>
            </w:r>
          </w:p>
        </w:tc>
        <w:tc>
          <w:tcPr>
            <w:tcW w:w="2660" w:type="dxa"/>
            <w:noWrap/>
            <w:hideMark/>
          </w:tcPr>
          <w:p w14:paraId="72B1C496" w14:textId="77777777" w:rsidR="00AD5D22" w:rsidRPr="00AD5D22" w:rsidRDefault="00AD5D22" w:rsidP="00AD5D22">
            <w:pPr>
              <w:pStyle w:val="ListParagraph"/>
            </w:pPr>
            <w:r w:rsidRPr="00AD5D22">
              <w:t>Portsmouth</w:t>
            </w:r>
          </w:p>
        </w:tc>
        <w:tc>
          <w:tcPr>
            <w:tcW w:w="2140" w:type="dxa"/>
            <w:noWrap/>
            <w:hideMark/>
          </w:tcPr>
          <w:p w14:paraId="28CFAA47" w14:textId="77777777" w:rsidR="00AD5D22" w:rsidRPr="00AD5D22" w:rsidRDefault="00AD5D22" w:rsidP="00AD5D22">
            <w:pPr>
              <w:pStyle w:val="ListParagraph"/>
            </w:pPr>
          </w:p>
        </w:tc>
      </w:tr>
      <w:tr w:rsidR="00AD5D22" w:rsidRPr="00AD5D22" w14:paraId="22BD6E84" w14:textId="77777777" w:rsidTr="00AD5D22">
        <w:trPr>
          <w:trHeight w:val="630"/>
        </w:trPr>
        <w:tc>
          <w:tcPr>
            <w:tcW w:w="2140" w:type="dxa"/>
            <w:noWrap/>
            <w:hideMark/>
          </w:tcPr>
          <w:p w14:paraId="1B71B916" w14:textId="77777777" w:rsidR="00AD5D22" w:rsidRPr="00AD5D22" w:rsidRDefault="00AD5D22" w:rsidP="00AD5D22">
            <w:pPr>
              <w:pStyle w:val="ListParagraph"/>
            </w:pPr>
            <w:r w:rsidRPr="00AD5D22">
              <w:t>Diane</w:t>
            </w:r>
          </w:p>
        </w:tc>
        <w:tc>
          <w:tcPr>
            <w:tcW w:w="2140" w:type="dxa"/>
            <w:noWrap/>
            <w:hideMark/>
          </w:tcPr>
          <w:p w14:paraId="74D6391C" w14:textId="77777777" w:rsidR="00AD5D22" w:rsidRPr="00AD5D22" w:rsidRDefault="00AD5D22" w:rsidP="00AD5D22">
            <w:pPr>
              <w:pStyle w:val="ListParagraph"/>
            </w:pPr>
            <w:r w:rsidRPr="00AD5D22">
              <w:t>Williamson</w:t>
            </w:r>
          </w:p>
        </w:tc>
        <w:tc>
          <w:tcPr>
            <w:tcW w:w="2660" w:type="dxa"/>
            <w:noWrap/>
            <w:hideMark/>
          </w:tcPr>
          <w:p w14:paraId="5959E93F" w14:textId="77777777" w:rsidR="00AD5D22" w:rsidRPr="00AD5D22" w:rsidRDefault="00AD5D22" w:rsidP="00AD5D22">
            <w:pPr>
              <w:pStyle w:val="ListParagraph"/>
            </w:pPr>
            <w:r w:rsidRPr="00AD5D22">
              <w:t>SESLIP consultant</w:t>
            </w:r>
          </w:p>
        </w:tc>
        <w:tc>
          <w:tcPr>
            <w:tcW w:w="2140" w:type="dxa"/>
            <w:noWrap/>
            <w:hideMark/>
          </w:tcPr>
          <w:p w14:paraId="6955FC50" w14:textId="77777777" w:rsidR="00AD5D22" w:rsidRPr="00AD5D22" w:rsidRDefault="00AD5D22" w:rsidP="00AD5D22">
            <w:pPr>
              <w:pStyle w:val="ListParagraph"/>
            </w:pPr>
            <w:r w:rsidRPr="00AD5D22">
              <w:t>Facilitator</w:t>
            </w:r>
          </w:p>
        </w:tc>
      </w:tr>
      <w:tr w:rsidR="00AD5D22" w:rsidRPr="00AD5D22" w14:paraId="513EB6D2" w14:textId="77777777" w:rsidTr="00AD5D22">
        <w:trPr>
          <w:trHeight w:val="615"/>
        </w:trPr>
        <w:tc>
          <w:tcPr>
            <w:tcW w:w="2140" w:type="dxa"/>
            <w:noWrap/>
            <w:hideMark/>
          </w:tcPr>
          <w:p w14:paraId="5845958B" w14:textId="77777777" w:rsidR="00AD5D22" w:rsidRPr="00AD5D22" w:rsidRDefault="00AD5D22" w:rsidP="00AD5D22">
            <w:pPr>
              <w:pStyle w:val="ListParagraph"/>
            </w:pPr>
            <w:r w:rsidRPr="00AD5D22">
              <w:t>Gill</w:t>
            </w:r>
          </w:p>
        </w:tc>
        <w:tc>
          <w:tcPr>
            <w:tcW w:w="2140" w:type="dxa"/>
            <w:noWrap/>
            <w:hideMark/>
          </w:tcPr>
          <w:p w14:paraId="0086DC4D" w14:textId="77777777" w:rsidR="00AD5D22" w:rsidRPr="00AD5D22" w:rsidRDefault="00AD5D22" w:rsidP="00AD5D22">
            <w:pPr>
              <w:pStyle w:val="ListParagraph"/>
            </w:pPr>
            <w:r w:rsidRPr="00AD5D22">
              <w:t>Halden</w:t>
            </w:r>
          </w:p>
        </w:tc>
        <w:tc>
          <w:tcPr>
            <w:tcW w:w="2660" w:type="dxa"/>
            <w:noWrap/>
            <w:hideMark/>
          </w:tcPr>
          <w:p w14:paraId="50BE318A" w14:textId="77777777" w:rsidR="00AD5D22" w:rsidRPr="00AD5D22" w:rsidRDefault="00AD5D22" w:rsidP="00AD5D22">
            <w:pPr>
              <w:pStyle w:val="ListParagraph"/>
            </w:pPr>
            <w:r w:rsidRPr="00AD5D22">
              <w:t>Surrey</w:t>
            </w:r>
          </w:p>
        </w:tc>
        <w:tc>
          <w:tcPr>
            <w:tcW w:w="2140" w:type="dxa"/>
            <w:noWrap/>
            <w:hideMark/>
          </w:tcPr>
          <w:p w14:paraId="2B7F647C" w14:textId="77777777" w:rsidR="00AD5D22" w:rsidRPr="00AD5D22" w:rsidRDefault="00AD5D22" w:rsidP="00AD5D22">
            <w:pPr>
              <w:pStyle w:val="ListParagraph"/>
            </w:pPr>
          </w:p>
        </w:tc>
      </w:tr>
      <w:tr w:rsidR="00AD5D22" w:rsidRPr="00AD5D22" w14:paraId="3C91E117" w14:textId="77777777" w:rsidTr="00AD5D22">
        <w:trPr>
          <w:trHeight w:val="570"/>
        </w:trPr>
        <w:tc>
          <w:tcPr>
            <w:tcW w:w="2140" w:type="dxa"/>
            <w:noWrap/>
            <w:hideMark/>
          </w:tcPr>
          <w:p w14:paraId="6DF884F5" w14:textId="77777777" w:rsidR="00AD5D22" w:rsidRPr="00AD5D22" w:rsidRDefault="00AD5D22" w:rsidP="00AD5D22">
            <w:pPr>
              <w:pStyle w:val="ListParagraph"/>
            </w:pPr>
            <w:r w:rsidRPr="00AD5D22">
              <w:t>Jo</w:t>
            </w:r>
          </w:p>
        </w:tc>
        <w:tc>
          <w:tcPr>
            <w:tcW w:w="2140" w:type="dxa"/>
            <w:noWrap/>
            <w:hideMark/>
          </w:tcPr>
          <w:p w14:paraId="72118FB4" w14:textId="77777777" w:rsidR="00AD5D22" w:rsidRPr="00AD5D22" w:rsidRDefault="00AD5D22" w:rsidP="00AD5D22">
            <w:pPr>
              <w:pStyle w:val="ListParagraph"/>
            </w:pPr>
            <w:r w:rsidRPr="00AD5D22">
              <w:t>Hooper</w:t>
            </w:r>
          </w:p>
        </w:tc>
        <w:tc>
          <w:tcPr>
            <w:tcW w:w="2660" w:type="dxa"/>
            <w:noWrap/>
            <w:hideMark/>
          </w:tcPr>
          <w:p w14:paraId="26C2F164" w14:textId="77777777" w:rsidR="00AD5D22" w:rsidRPr="00AD5D22" w:rsidRDefault="00AD5D22" w:rsidP="00AD5D22">
            <w:pPr>
              <w:pStyle w:val="ListParagraph"/>
            </w:pPr>
            <w:r w:rsidRPr="00AD5D22">
              <w:t>Milton Keynes</w:t>
            </w:r>
          </w:p>
        </w:tc>
        <w:tc>
          <w:tcPr>
            <w:tcW w:w="2140" w:type="dxa"/>
            <w:noWrap/>
            <w:hideMark/>
          </w:tcPr>
          <w:p w14:paraId="1FB34CB1" w14:textId="77777777" w:rsidR="00AD5D22" w:rsidRPr="00AD5D22" w:rsidRDefault="00AD5D22" w:rsidP="00AD5D22">
            <w:pPr>
              <w:pStyle w:val="ListParagraph"/>
            </w:pPr>
          </w:p>
        </w:tc>
      </w:tr>
      <w:tr w:rsidR="00AD5D22" w:rsidRPr="00AD5D22" w14:paraId="11F3590E" w14:textId="77777777" w:rsidTr="00AD5D22">
        <w:trPr>
          <w:trHeight w:val="615"/>
        </w:trPr>
        <w:tc>
          <w:tcPr>
            <w:tcW w:w="2140" w:type="dxa"/>
            <w:noWrap/>
            <w:hideMark/>
          </w:tcPr>
          <w:p w14:paraId="43751170" w14:textId="77777777" w:rsidR="00AD5D22" w:rsidRPr="00AD5D22" w:rsidRDefault="00AD5D22" w:rsidP="00AD5D22">
            <w:pPr>
              <w:pStyle w:val="ListParagraph"/>
            </w:pPr>
            <w:r w:rsidRPr="00AD5D22">
              <w:t>Julie</w:t>
            </w:r>
          </w:p>
        </w:tc>
        <w:tc>
          <w:tcPr>
            <w:tcW w:w="2140" w:type="dxa"/>
            <w:noWrap/>
            <w:hideMark/>
          </w:tcPr>
          <w:p w14:paraId="7D2AC69B" w14:textId="77777777" w:rsidR="00AD5D22" w:rsidRPr="00AD5D22" w:rsidRDefault="00AD5D22" w:rsidP="00AD5D22">
            <w:pPr>
              <w:pStyle w:val="ListParagraph"/>
            </w:pPr>
            <w:r w:rsidRPr="00AD5D22">
              <w:t>Davies</w:t>
            </w:r>
          </w:p>
        </w:tc>
        <w:tc>
          <w:tcPr>
            <w:tcW w:w="2660" w:type="dxa"/>
            <w:noWrap/>
            <w:hideMark/>
          </w:tcPr>
          <w:p w14:paraId="6D122F1A" w14:textId="77777777" w:rsidR="00AD5D22" w:rsidRPr="00AD5D22" w:rsidRDefault="00AD5D22" w:rsidP="00AD5D22">
            <w:pPr>
              <w:pStyle w:val="ListParagraph"/>
            </w:pPr>
            <w:r w:rsidRPr="00AD5D22">
              <w:t>Bucks</w:t>
            </w:r>
          </w:p>
        </w:tc>
        <w:tc>
          <w:tcPr>
            <w:tcW w:w="2140" w:type="dxa"/>
            <w:noWrap/>
            <w:hideMark/>
          </w:tcPr>
          <w:p w14:paraId="6DA5EFF4" w14:textId="77777777" w:rsidR="00AD5D22" w:rsidRPr="00AD5D22" w:rsidRDefault="00AD5D22" w:rsidP="00AD5D22">
            <w:pPr>
              <w:pStyle w:val="ListParagraph"/>
            </w:pPr>
          </w:p>
        </w:tc>
      </w:tr>
      <w:tr w:rsidR="00AD5D22" w:rsidRPr="00AD5D22" w14:paraId="3AED38D1" w14:textId="77777777" w:rsidTr="00AD5D22">
        <w:trPr>
          <w:trHeight w:val="735"/>
        </w:trPr>
        <w:tc>
          <w:tcPr>
            <w:tcW w:w="2140" w:type="dxa"/>
            <w:noWrap/>
            <w:hideMark/>
          </w:tcPr>
          <w:p w14:paraId="3FAC39D7" w14:textId="77777777" w:rsidR="00AD5D22" w:rsidRPr="00AD5D22" w:rsidRDefault="00AD5D22" w:rsidP="00AD5D22">
            <w:pPr>
              <w:pStyle w:val="ListParagraph"/>
            </w:pPr>
            <w:r w:rsidRPr="00AD5D22">
              <w:t>Kevin</w:t>
            </w:r>
          </w:p>
        </w:tc>
        <w:tc>
          <w:tcPr>
            <w:tcW w:w="2140" w:type="dxa"/>
            <w:noWrap/>
            <w:hideMark/>
          </w:tcPr>
          <w:p w14:paraId="4D33B915" w14:textId="77777777" w:rsidR="00AD5D22" w:rsidRPr="00AD5D22" w:rsidRDefault="00AD5D22" w:rsidP="00AD5D22">
            <w:pPr>
              <w:pStyle w:val="ListParagraph"/>
            </w:pPr>
            <w:r w:rsidRPr="00AD5D22">
              <w:t>Kasaven</w:t>
            </w:r>
          </w:p>
        </w:tc>
        <w:tc>
          <w:tcPr>
            <w:tcW w:w="2660" w:type="dxa"/>
            <w:noWrap/>
            <w:hideMark/>
          </w:tcPr>
          <w:p w14:paraId="54503B83" w14:textId="77777777" w:rsidR="00AD5D22" w:rsidRPr="00AD5D22" w:rsidRDefault="00AD5D22" w:rsidP="00AD5D22">
            <w:pPr>
              <w:pStyle w:val="ListParagraph"/>
            </w:pPr>
            <w:r w:rsidRPr="00AD5D22">
              <w:t>Kent</w:t>
            </w:r>
          </w:p>
        </w:tc>
        <w:tc>
          <w:tcPr>
            <w:tcW w:w="2140" w:type="dxa"/>
            <w:noWrap/>
            <w:hideMark/>
          </w:tcPr>
          <w:p w14:paraId="2507E51C" w14:textId="77777777" w:rsidR="00AD5D22" w:rsidRPr="00AD5D22" w:rsidRDefault="00AD5D22" w:rsidP="00AD5D22">
            <w:pPr>
              <w:pStyle w:val="ListParagraph"/>
            </w:pPr>
          </w:p>
        </w:tc>
      </w:tr>
      <w:tr w:rsidR="00AD5D22" w:rsidRPr="00AD5D22" w14:paraId="08770206" w14:textId="77777777" w:rsidTr="00AD5D22">
        <w:trPr>
          <w:trHeight w:val="570"/>
        </w:trPr>
        <w:tc>
          <w:tcPr>
            <w:tcW w:w="2140" w:type="dxa"/>
            <w:noWrap/>
            <w:hideMark/>
          </w:tcPr>
          <w:p w14:paraId="39A97501" w14:textId="77777777" w:rsidR="00AD5D22" w:rsidRPr="00AD5D22" w:rsidRDefault="00AD5D22" w:rsidP="00AD5D22">
            <w:pPr>
              <w:pStyle w:val="ListParagraph"/>
            </w:pPr>
            <w:r w:rsidRPr="00AD5D22">
              <w:t>Kogie</w:t>
            </w:r>
          </w:p>
        </w:tc>
        <w:tc>
          <w:tcPr>
            <w:tcW w:w="2140" w:type="dxa"/>
            <w:noWrap/>
            <w:hideMark/>
          </w:tcPr>
          <w:p w14:paraId="34FA815A" w14:textId="77777777" w:rsidR="00AD5D22" w:rsidRPr="00AD5D22" w:rsidRDefault="00AD5D22" w:rsidP="00AD5D22">
            <w:pPr>
              <w:pStyle w:val="ListParagraph"/>
            </w:pPr>
            <w:r w:rsidRPr="00AD5D22">
              <w:t>Perumal</w:t>
            </w:r>
          </w:p>
        </w:tc>
        <w:tc>
          <w:tcPr>
            <w:tcW w:w="2660" w:type="dxa"/>
            <w:noWrap/>
            <w:hideMark/>
          </w:tcPr>
          <w:p w14:paraId="0941394F" w14:textId="77777777" w:rsidR="00AD5D22" w:rsidRPr="00AD5D22" w:rsidRDefault="00AD5D22" w:rsidP="00AD5D22">
            <w:pPr>
              <w:pStyle w:val="ListParagraph"/>
            </w:pPr>
            <w:r w:rsidRPr="00AD5D22">
              <w:t>Bracknell Forest</w:t>
            </w:r>
          </w:p>
        </w:tc>
        <w:tc>
          <w:tcPr>
            <w:tcW w:w="2140" w:type="dxa"/>
            <w:noWrap/>
            <w:hideMark/>
          </w:tcPr>
          <w:p w14:paraId="2640367C" w14:textId="77777777" w:rsidR="00AD5D22" w:rsidRPr="00AD5D22" w:rsidRDefault="00AD5D22" w:rsidP="00AD5D22">
            <w:pPr>
              <w:pStyle w:val="ListParagraph"/>
            </w:pPr>
          </w:p>
        </w:tc>
      </w:tr>
      <w:tr w:rsidR="00AD5D22" w:rsidRPr="00AD5D22" w14:paraId="046A9199" w14:textId="77777777" w:rsidTr="00AD5D22">
        <w:trPr>
          <w:trHeight w:val="600"/>
        </w:trPr>
        <w:tc>
          <w:tcPr>
            <w:tcW w:w="2140" w:type="dxa"/>
            <w:noWrap/>
            <w:hideMark/>
          </w:tcPr>
          <w:p w14:paraId="589564E3" w14:textId="77777777" w:rsidR="00AD5D22" w:rsidRPr="00AD5D22" w:rsidRDefault="00AD5D22" w:rsidP="00AD5D22">
            <w:pPr>
              <w:pStyle w:val="ListParagraph"/>
            </w:pPr>
            <w:r w:rsidRPr="00AD5D22">
              <w:t>Nicola</w:t>
            </w:r>
          </w:p>
        </w:tc>
        <w:tc>
          <w:tcPr>
            <w:tcW w:w="2140" w:type="dxa"/>
            <w:noWrap/>
            <w:hideMark/>
          </w:tcPr>
          <w:p w14:paraId="764C47F5" w14:textId="77777777" w:rsidR="00AD5D22" w:rsidRPr="00AD5D22" w:rsidRDefault="00AD5D22" w:rsidP="00AD5D22">
            <w:pPr>
              <w:pStyle w:val="ListParagraph"/>
            </w:pPr>
            <w:r w:rsidRPr="00AD5D22">
              <w:t>Robertson</w:t>
            </w:r>
          </w:p>
        </w:tc>
        <w:tc>
          <w:tcPr>
            <w:tcW w:w="2660" w:type="dxa"/>
            <w:noWrap/>
            <w:hideMark/>
          </w:tcPr>
          <w:p w14:paraId="677166A1" w14:textId="77777777" w:rsidR="00AD5D22" w:rsidRPr="00AD5D22" w:rsidRDefault="00AD5D22" w:rsidP="00AD5D22">
            <w:pPr>
              <w:pStyle w:val="ListParagraph"/>
            </w:pPr>
            <w:r w:rsidRPr="00AD5D22">
              <w:t>West Berks</w:t>
            </w:r>
          </w:p>
        </w:tc>
        <w:tc>
          <w:tcPr>
            <w:tcW w:w="2140" w:type="dxa"/>
            <w:noWrap/>
            <w:hideMark/>
          </w:tcPr>
          <w:p w14:paraId="047B2C99" w14:textId="77777777" w:rsidR="00AD5D22" w:rsidRPr="00AD5D22" w:rsidRDefault="00AD5D22" w:rsidP="00AD5D22">
            <w:pPr>
              <w:pStyle w:val="ListParagraph"/>
            </w:pPr>
          </w:p>
        </w:tc>
      </w:tr>
      <w:tr w:rsidR="00AD5D22" w:rsidRPr="00AD5D22" w14:paraId="097A6336" w14:textId="77777777" w:rsidTr="00AD5D22">
        <w:trPr>
          <w:trHeight w:val="600"/>
        </w:trPr>
        <w:tc>
          <w:tcPr>
            <w:tcW w:w="2140" w:type="dxa"/>
            <w:noWrap/>
            <w:hideMark/>
          </w:tcPr>
          <w:p w14:paraId="07604DE9" w14:textId="77777777" w:rsidR="00AD5D22" w:rsidRPr="00AD5D22" w:rsidRDefault="00AD5D22" w:rsidP="00AD5D22">
            <w:pPr>
              <w:pStyle w:val="ListParagraph"/>
            </w:pPr>
            <w:r w:rsidRPr="00AD5D22">
              <w:t>Patricia</w:t>
            </w:r>
          </w:p>
        </w:tc>
        <w:tc>
          <w:tcPr>
            <w:tcW w:w="2140" w:type="dxa"/>
            <w:noWrap/>
            <w:hideMark/>
          </w:tcPr>
          <w:p w14:paraId="1499A762" w14:textId="77777777" w:rsidR="00AD5D22" w:rsidRPr="00AD5D22" w:rsidRDefault="00AD5D22" w:rsidP="00AD5D22">
            <w:pPr>
              <w:pStyle w:val="ListParagraph"/>
            </w:pPr>
            <w:r w:rsidRPr="00AD5D22">
              <w:t>Denney</w:t>
            </w:r>
          </w:p>
        </w:tc>
        <w:tc>
          <w:tcPr>
            <w:tcW w:w="2660" w:type="dxa"/>
            <w:noWrap/>
            <w:hideMark/>
          </w:tcPr>
          <w:p w14:paraId="65B715DE" w14:textId="77777777" w:rsidR="00AD5D22" w:rsidRPr="00AD5D22" w:rsidRDefault="00AD5D22" w:rsidP="00AD5D22">
            <w:pPr>
              <w:pStyle w:val="ListParagraph"/>
            </w:pPr>
            <w:r w:rsidRPr="00AD5D22">
              <w:t>Surrey</w:t>
            </w:r>
          </w:p>
        </w:tc>
        <w:tc>
          <w:tcPr>
            <w:tcW w:w="2140" w:type="dxa"/>
            <w:noWrap/>
            <w:hideMark/>
          </w:tcPr>
          <w:p w14:paraId="3BCED97D" w14:textId="77777777" w:rsidR="00AD5D22" w:rsidRPr="00AD5D22" w:rsidRDefault="00AD5D22" w:rsidP="00AD5D22">
            <w:pPr>
              <w:pStyle w:val="ListParagraph"/>
            </w:pPr>
          </w:p>
        </w:tc>
      </w:tr>
      <w:tr w:rsidR="00AD5D22" w:rsidRPr="00AD5D22" w14:paraId="6BAAC10C" w14:textId="77777777" w:rsidTr="00AD5D22">
        <w:trPr>
          <w:trHeight w:val="600"/>
        </w:trPr>
        <w:tc>
          <w:tcPr>
            <w:tcW w:w="2140" w:type="dxa"/>
            <w:noWrap/>
            <w:hideMark/>
          </w:tcPr>
          <w:p w14:paraId="373CB714" w14:textId="77777777" w:rsidR="00AD5D22" w:rsidRPr="00AD5D22" w:rsidRDefault="00AD5D22" w:rsidP="00AD5D22">
            <w:pPr>
              <w:pStyle w:val="ListParagraph"/>
            </w:pPr>
            <w:proofErr w:type="spellStart"/>
            <w:r w:rsidRPr="00AD5D22">
              <w:t>Sivay</w:t>
            </w:r>
            <w:proofErr w:type="spellEnd"/>
          </w:p>
        </w:tc>
        <w:tc>
          <w:tcPr>
            <w:tcW w:w="2140" w:type="dxa"/>
            <w:noWrap/>
            <w:hideMark/>
          </w:tcPr>
          <w:p w14:paraId="2F485767" w14:textId="77777777" w:rsidR="00AD5D22" w:rsidRPr="00AD5D22" w:rsidRDefault="00AD5D22" w:rsidP="00AD5D22">
            <w:pPr>
              <w:pStyle w:val="ListParagraph"/>
            </w:pPr>
            <w:proofErr w:type="spellStart"/>
            <w:r w:rsidRPr="00AD5D22">
              <w:t>Heer</w:t>
            </w:r>
            <w:proofErr w:type="spellEnd"/>
          </w:p>
        </w:tc>
        <w:tc>
          <w:tcPr>
            <w:tcW w:w="2660" w:type="dxa"/>
            <w:noWrap/>
            <w:hideMark/>
          </w:tcPr>
          <w:p w14:paraId="054DDBCB" w14:textId="77777777" w:rsidR="00AD5D22" w:rsidRPr="00AD5D22" w:rsidRDefault="00AD5D22" w:rsidP="00AD5D22">
            <w:pPr>
              <w:pStyle w:val="ListParagraph"/>
            </w:pPr>
            <w:r w:rsidRPr="00AD5D22">
              <w:t>Milton Keynes</w:t>
            </w:r>
          </w:p>
        </w:tc>
        <w:tc>
          <w:tcPr>
            <w:tcW w:w="2140" w:type="dxa"/>
            <w:noWrap/>
            <w:hideMark/>
          </w:tcPr>
          <w:p w14:paraId="16F5B844" w14:textId="77777777" w:rsidR="00AD5D22" w:rsidRPr="00AD5D22" w:rsidRDefault="00AD5D22" w:rsidP="00AD5D22">
            <w:pPr>
              <w:pStyle w:val="ListParagraph"/>
            </w:pPr>
          </w:p>
        </w:tc>
      </w:tr>
      <w:tr w:rsidR="00AD5D22" w:rsidRPr="00AD5D22" w14:paraId="672540C9" w14:textId="77777777" w:rsidTr="00AD5D22">
        <w:trPr>
          <w:trHeight w:val="540"/>
        </w:trPr>
        <w:tc>
          <w:tcPr>
            <w:tcW w:w="2140" w:type="dxa"/>
            <w:noWrap/>
            <w:hideMark/>
          </w:tcPr>
          <w:p w14:paraId="10BCD9FB" w14:textId="77777777" w:rsidR="00AD5D22" w:rsidRPr="00AD5D22" w:rsidRDefault="00AD5D22" w:rsidP="00AD5D22">
            <w:pPr>
              <w:pStyle w:val="ListParagraph"/>
            </w:pPr>
            <w:r w:rsidRPr="00AD5D22">
              <w:t xml:space="preserve">Rachel </w:t>
            </w:r>
          </w:p>
        </w:tc>
        <w:tc>
          <w:tcPr>
            <w:tcW w:w="2140" w:type="dxa"/>
            <w:noWrap/>
            <w:hideMark/>
          </w:tcPr>
          <w:p w14:paraId="380325F6" w14:textId="77777777" w:rsidR="00AD5D22" w:rsidRPr="00AD5D22" w:rsidRDefault="00AD5D22" w:rsidP="00AD5D22">
            <w:pPr>
              <w:pStyle w:val="ListParagraph"/>
            </w:pPr>
            <w:r w:rsidRPr="00AD5D22">
              <w:t>Oakley</w:t>
            </w:r>
          </w:p>
        </w:tc>
        <w:tc>
          <w:tcPr>
            <w:tcW w:w="2660" w:type="dxa"/>
            <w:noWrap/>
            <w:hideMark/>
          </w:tcPr>
          <w:p w14:paraId="6BD4158C" w14:textId="77777777" w:rsidR="00AD5D22" w:rsidRPr="00AD5D22" w:rsidRDefault="00AD5D22" w:rsidP="00AD5D22">
            <w:pPr>
              <w:pStyle w:val="ListParagraph"/>
            </w:pPr>
            <w:r w:rsidRPr="00AD5D22">
              <w:t>Wokingham</w:t>
            </w:r>
          </w:p>
        </w:tc>
        <w:tc>
          <w:tcPr>
            <w:tcW w:w="2140" w:type="dxa"/>
            <w:noWrap/>
            <w:hideMark/>
          </w:tcPr>
          <w:p w14:paraId="424B8B21" w14:textId="77777777" w:rsidR="00AD5D22" w:rsidRPr="00AD5D22" w:rsidRDefault="00AD5D22" w:rsidP="00AD5D22">
            <w:pPr>
              <w:pStyle w:val="ListParagraph"/>
            </w:pPr>
          </w:p>
        </w:tc>
      </w:tr>
      <w:tr w:rsidR="00AD5D22" w:rsidRPr="00AD5D22" w14:paraId="0866E5D0" w14:textId="77777777" w:rsidTr="00AD5D22">
        <w:trPr>
          <w:trHeight w:val="660"/>
        </w:trPr>
        <w:tc>
          <w:tcPr>
            <w:tcW w:w="2140" w:type="dxa"/>
            <w:noWrap/>
            <w:hideMark/>
          </w:tcPr>
          <w:p w14:paraId="1B334A05" w14:textId="77777777" w:rsidR="00AD5D22" w:rsidRPr="00AD5D22" w:rsidRDefault="00AD5D22" w:rsidP="00AD5D22">
            <w:pPr>
              <w:pStyle w:val="ListParagraph"/>
            </w:pPr>
            <w:r w:rsidRPr="00AD5D22">
              <w:t>Sandra</w:t>
            </w:r>
          </w:p>
        </w:tc>
        <w:tc>
          <w:tcPr>
            <w:tcW w:w="2140" w:type="dxa"/>
            <w:noWrap/>
            <w:hideMark/>
          </w:tcPr>
          <w:p w14:paraId="19AB63FB" w14:textId="77777777" w:rsidR="00AD5D22" w:rsidRPr="00AD5D22" w:rsidRDefault="00AD5D22" w:rsidP="00AD5D22">
            <w:pPr>
              <w:pStyle w:val="ListParagraph"/>
            </w:pPr>
            <w:r w:rsidRPr="00AD5D22">
              <w:t>Davies</w:t>
            </w:r>
          </w:p>
        </w:tc>
        <w:tc>
          <w:tcPr>
            <w:tcW w:w="2660" w:type="dxa"/>
            <w:noWrap/>
            <w:hideMark/>
          </w:tcPr>
          <w:p w14:paraId="5F275692" w14:textId="77777777" w:rsidR="00AD5D22" w:rsidRPr="00AD5D22" w:rsidRDefault="00AD5D22" w:rsidP="00AD5D22">
            <w:pPr>
              <w:pStyle w:val="ListParagraph"/>
            </w:pPr>
            <w:r w:rsidRPr="00AD5D22">
              <w:t>Slough</w:t>
            </w:r>
          </w:p>
        </w:tc>
        <w:tc>
          <w:tcPr>
            <w:tcW w:w="2140" w:type="dxa"/>
            <w:noWrap/>
            <w:hideMark/>
          </w:tcPr>
          <w:p w14:paraId="0330F656" w14:textId="77777777" w:rsidR="00AD5D22" w:rsidRPr="00AD5D22" w:rsidRDefault="00AD5D22" w:rsidP="00AD5D22">
            <w:pPr>
              <w:pStyle w:val="ListParagraph"/>
            </w:pPr>
          </w:p>
        </w:tc>
      </w:tr>
      <w:tr w:rsidR="00AD5D22" w:rsidRPr="00AD5D22" w14:paraId="6EFC475F" w14:textId="77777777" w:rsidTr="00AD5D22">
        <w:trPr>
          <w:trHeight w:val="630"/>
        </w:trPr>
        <w:tc>
          <w:tcPr>
            <w:tcW w:w="2140" w:type="dxa"/>
            <w:noWrap/>
            <w:hideMark/>
          </w:tcPr>
          <w:p w14:paraId="6E8B0240" w14:textId="77777777" w:rsidR="00AD5D22" w:rsidRPr="00AD5D22" w:rsidRDefault="00AD5D22" w:rsidP="00AD5D22">
            <w:pPr>
              <w:pStyle w:val="ListParagraph"/>
            </w:pPr>
            <w:r w:rsidRPr="00AD5D22">
              <w:t>Shungu</w:t>
            </w:r>
          </w:p>
        </w:tc>
        <w:tc>
          <w:tcPr>
            <w:tcW w:w="2140" w:type="dxa"/>
            <w:noWrap/>
            <w:hideMark/>
          </w:tcPr>
          <w:p w14:paraId="65E25018" w14:textId="77777777" w:rsidR="00AD5D22" w:rsidRPr="00AD5D22" w:rsidRDefault="00AD5D22" w:rsidP="00AD5D22">
            <w:pPr>
              <w:pStyle w:val="ListParagraph"/>
            </w:pPr>
            <w:r w:rsidRPr="00AD5D22">
              <w:t>Chigocha</w:t>
            </w:r>
          </w:p>
        </w:tc>
        <w:tc>
          <w:tcPr>
            <w:tcW w:w="2660" w:type="dxa"/>
            <w:noWrap/>
            <w:hideMark/>
          </w:tcPr>
          <w:p w14:paraId="36278734" w14:textId="77777777" w:rsidR="00AD5D22" w:rsidRPr="00AD5D22" w:rsidRDefault="00AD5D22" w:rsidP="00AD5D22">
            <w:pPr>
              <w:pStyle w:val="ListParagraph"/>
            </w:pPr>
            <w:r w:rsidRPr="00AD5D22">
              <w:t>Windsor and Maidenhead</w:t>
            </w:r>
          </w:p>
        </w:tc>
        <w:tc>
          <w:tcPr>
            <w:tcW w:w="2140" w:type="dxa"/>
            <w:noWrap/>
            <w:hideMark/>
          </w:tcPr>
          <w:p w14:paraId="257AB19B" w14:textId="77777777" w:rsidR="00AD5D22" w:rsidRPr="00AD5D22" w:rsidRDefault="00AD5D22" w:rsidP="00AD5D22">
            <w:pPr>
              <w:pStyle w:val="ListParagraph"/>
            </w:pPr>
          </w:p>
        </w:tc>
      </w:tr>
      <w:tr w:rsidR="00AD5D22" w:rsidRPr="00AD5D22" w14:paraId="5F5C85C6" w14:textId="77777777" w:rsidTr="00AD5D22">
        <w:trPr>
          <w:trHeight w:val="615"/>
        </w:trPr>
        <w:tc>
          <w:tcPr>
            <w:tcW w:w="2140" w:type="dxa"/>
            <w:noWrap/>
            <w:hideMark/>
          </w:tcPr>
          <w:p w14:paraId="5F4AECF7" w14:textId="77777777" w:rsidR="00AD5D22" w:rsidRPr="00AD5D22" w:rsidRDefault="00AD5D22" w:rsidP="00AD5D22">
            <w:pPr>
              <w:pStyle w:val="ListParagraph"/>
            </w:pPr>
            <w:r w:rsidRPr="00AD5D22">
              <w:t>Sophie</w:t>
            </w:r>
          </w:p>
        </w:tc>
        <w:tc>
          <w:tcPr>
            <w:tcW w:w="2140" w:type="dxa"/>
            <w:noWrap/>
            <w:hideMark/>
          </w:tcPr>
          <w:p w14:paraId="58719778" w14:textId="77777777" w:rsidR="00AD5D22" w:rsidRPr="00AD5D22" w:rsidRDefault="00AD5D22" w:rsidP="00AD5D22">
            <w:pPr>
              <w:pStyle w:val="ListParagraph"/>
            </w:pPr>
            <w:r w:rsidRPr="00AD5D22">
              <w:t>Carter</w:t>
            </w:r>
          </w:p>
        </w:tc>
        <w:tc>
          <w:tcPr>
            <w:tcW w:w="2660" w:type="dxa"/>
            <w:noWrap/>
            <w:hideMark/>
          </w:tcPr>
          <w:p w14:paraId="18CCCB56" w14:textId="77777777" w:rsidR="00AD5D22" w:rsidRPr="00AD5D22" w:rsidRDefault="00AD5D22" w:rsidP="00AD5D22">
            <w:pPr>
              <w:pStyle w:val="ListParagraph"/>
            </w:pPr>
            <w:r w:rsidRPr="00AD5D22">
              <w:t>West Sussex</w:t>
            </w:r>
          </w:p>
        </w:tc>
        <w:tc>
          <w:tcPr>
            <w:tcW w:w="2140" w:type="dxa"/>
            <w:noWrap/>
            <w:hideMark/>
          </w:tcPr>
          <w:p w14:paraId="03A15592" w14:textId="77777777" w:rsidR="00AD5D22" w:rsidRPr="00AD5D22" w:rsidRDefault="00AD5D22" w:rsidP="00AD5D22">
            <w:pPr>
              <w:pStyle w:val="ListParagraph"/>
            </w:pPr>
          </w:p>
        </w:tc>
      </w:tr>
      <w:tr w:rsidR="00AD5D22" w:rsidRPr="00AD5D22" w14:paraId="2B353AB0" w14:textId="77777777" w:rsidTr="00AD5D22">
        <w:trPr>
          <w:trHeight w:val="675"/>
        </w:trPr>
        <w:tc>
          <w:tcPr>
            <w:tcW w:w="2140" w:type="dxa"/>
            <w:noWrap/>
            <w:hideMark/>
          </w:tcPr>
          <w:p w14:paraId="7B84DE8F" w14:textId="77777777" w:rsidR="00AD5D22" w:rsidRPr="00AD5D22" w:rsidRDefault="00AD5D22" w:rsidP="00AD5D22">
            <w:pPr>
              <w:pStyle w:val="ListParagraph"/>
            </w:pPr>
            <w:r w:rsidRPr="00AD5D22">
              <w:t>Stuart</w:t>
            </w:r>
          </w:p>
        </w:tc>
        <w:tc>
          <w:tcPr>
            <w:tcW w:w="2140" w:type="dxa"/>
            <w:noWrap/>
            <w:hideMark/>
          </w:tcPr>
          <w:p w14:paraId="335B07CA" w14:textId="77777777" w:rsidR="00AD5D22" w:rsidRPr="00AD5D22" w:rsidRDefault="00AD5D22" w:rsidP="00AD5D22">
            <w:pPr>
              <w:pStyle w:val="ListParagraph"/>
            </w:pPr>
            <w:r w:rsidRPr="00AD5D22">
              <w:t>Ashley</w:t>
            </w:r>
          </w:p>
        </w:tc>
        <w:tc>
          <w:tcPr>
            <w:tcW w:w="2660" w:type="dxa"/>
            <w:noWrap/>
            <w:hideMark/>
          </w:tcPr>
          <w:p w14:paraId="4646A354" w14:textId="77777777" w:rsidR="00AD5D22" w:rsidRPr="00AD5D22" w:rsidRDefault="00AD5D22" w:rsidP="00AD5D22">
            <w:pPr>
              <w:pStyle w:val="ListParagraph"/>
            </w:pPr>
            <w:r w:rsidRPr="00AD5D22">
              <w:t>Hants</w:t>
            </w:r>
          </w:p>
        </w:tc>
        <w:tc>
          <w:tcPr>
            <w:tcW w:w="2140" w:type="dxa"/>
            <w:noWrap/>
            <w:hideMark/>
          </w:tcPr>
          <w:p w14:paraId="1EF4AA47" w14:textId="77777777" w:rsidR="00AD5D22" w:rsidRPr="00AD5D22" w:rsidRDefault="00AD5D22" w:rsidP="00AD5D22">
            <w:pPr>
              <w:pStyle w:val="ListParagraph"/>
            </w:pPr>
            <w:r w:rsidRPr="00AD5D22">
              <w:t>Chair and Sponsor</w:t>
            </w:r>
          </w:p>
        </w:tc>
      </w:tr>
      <w:tr w:rsidR="00AD5D22" w:rsidRPr="00AD5D22" w14:paraId="3021963B" w14:textId="77777777" w:rsidTr="00AD5D22">
        <w:trPr>
          <w:trHeight w:val="615"/>
        </w:trPr>
        <w:tc>
          <w:tcPr>
            <w:tcW w:w="2140" w:type="dxa"/>
            <w:noWrap/>
            <w:hideMark/>
          </w:tcPr>
          <w:p w14:paraId="3419440F" w14:textId="77777777" w:rsidR="00AD5D22" w:rsidRPr="00AD5D22" w:rsidRDefault="00AD5D22" w:rsidP="00AD5D22">
            <w:pPr>
              <w:pStyle w:val="ListParagraph"/>
            </w:pPr>
            <w:r w:rsidRPr="00AD5D22">
              <w:t>Stuart</w:t>
            </w:r>
          </w:p>
        </w:tc>
        <w:tc>
          <w:tcPr>
            <w:tcW w:w="2140" w:type="dxa"/>
            <w:noWrap/>
            <w:hideMark/>
          </w:tcPr>
          <w:p w14:paraId="4854D049" w14:textId="77777777" w:rsidR="00AD5D22" w:rsidRPr="00AD5D22" w:rsidRDefault="00AD5D22" w:rsidP="00AD5D22">
            <w:pPr>
              <w:pStyle w:val="ListParagraph"/>
            </w:pPr>
            <w:r w:rsidRPr="00AD5D22">
              <w:t>Webb</w:t>
            </w:r>
          </w:p>
        </w:tc>
        <w:tc>
          <w:tcPr>
            <w:tcW w:w="2660" w:type="dxa"/>
            <w:noWrap/>
            <w:hideMark/>
          </w:tcPr>
          <w:p w14:paraId="78C75C61" w14:textId="77777777" w:rsidR="00AD5D22" w:rsidRPr="00AD5D22" w:rsidRDefault="00AD5D22" w:rsidP="00AD5D22">
            <w:pPr>
              <w:pStyle w:val="ListParagraph"/>
            </w:pPr>
            <w:r w:rsidRPr="00AD5D22">
              <w:t>Southampton</w:t>
            </w:r>
          </w:p>
        </w:tc>
        <w:tc>
          <w:tcPr>
            <w:tcW w:w="2140" w:type="dxa"/>
            <w:noWrap/>
            <w:hideMark/>
          </w:tcPr>
          <w:p w14:paraId="132FE99B" w14:textId="77777777" w:rsidR="00AD5D22" w:rsidRPr="00AD5D22" w:rsidRDefault="00AD5D22" w:rsidP="00AD5D22">
            <w:pPr>
              <w:pStyle w:val="ListParagraph"/>
            </w:pPr>
          </w:p>
        </w:tc>
      </w:tr>
      <w:tr w:rsidR="00AD5D22" w:rsidRPr="00AD5D22" w14:paraId="643A7AC8" w14:textId="77777777" w:rsidTr="00AD5D22">
        <w:trPr>
          <w:trHeight w:val="615"/>
        </w:trPr>
        <w:tc>
          <w:tcPr>
            <w:tcW w:w="2140" w:type="dxa"/>
            <w:noWrap/>
            <w:hideMark/>
          </w:tcPr>
          <w:p w14:paraId="138D34BF" w14:textId="77777777" w:rsidR="00AD5D22" w:rsidRPr="00AD5D22" w:rsidRDefault="00AD5D22" w:rsidP="00AD5D22">
            <w:pPr>
              <w:pStyle w:val="ListParagraph"/>
            </w:pPr>
            <w:r w:rsidRPr="00AD5D22">
              <w:t>Tina</w:t>
            </w:r>
          </w:p>
        </w:tc>
        <w:tc>
          <w:tcPr>
            <w:tcW w:w="2140" w:type="dxa"/>
            <w:noWrap/>
            <w:hideMark/>
          </w:tcPr>
          <w:p w14:paraId="2B2D38AA" w14:textId="77777777" w:rsidR="00AD5D22" w:rsidRPr="00AD5D22" w:rsidRDefault="00AD5D22" w:rsidP="00AD5D22">
            <w:pPr>
              <w:pStyle w:val="ListParagraph"/>
            </w:pPr>
            <w:r w:rsidRPr="00AD5D22">
              <w:t>James</w:t>
            </w:r>
          </w:p>
        </w:tc>
        <w:tc>
          <w:tcPr>
            <w:tcW w:w="2660" w:type="dxa"/>
            <w:noWrap/>
            <w:hideMark/>
          </w:tcPr>
          <w:p w14:paraId="00E38ADB" w14:textId="77777777" w:rsidR="00AD5D22" w:rsidRPr="00AD5D22" w:rsidRDefault="00AD5D22" w:rsidP="00AD5D22">
            <w:pPr>
              <w:pStyle w:val="ListParagraph"/>
            </w:pPr>
            <w:r w:rsidRPr="00AD5D22">
              <w:t>Brighton and Hove</w:t>
            </w:r>
          </w:p>
        </w:tc>
        <w:tc>
          <w:tcPr>
            <w:tcW w:w="2140" w:type="dxa"/>
            <w:noWrap/>
            <w:hideMark/>
          </w:tcPr>
          <w:p w14:paraId="3452B6C5" w14:textId="77777777" w:rsidR="00AD5D22" w:rsidRPr="00AD5D22" w:rsidRDefault="00AD5D22" w:rsidP="00AD5D22">
            <w:pPr>
              <w:pStyle w:val="ListParagraph"/>
            </w:pPr>
          </w:p>
        </w:tc>
      </w:tr>
    </w:tbl>
    <w:p w14:paraId="792A5121" w14:textId="0088BD6B" w:rsidR="00AD5D22" w:rsidRDefault="00AD5D22" w:rsidP="00AD5D22">
      <w:pPr>
        <w:pStyle w:val="ListParagraph"/>
        <w:rPr>
          <w:b/>
          <w:bCs/>
        </w:rPr>
      </w:pPr>
    </w:p>
    <w:p w14:paraId="18D76859" w14:textId="77777777" w:rsidR="00AD5D22" w:rsidRPr="00AD5D22" w:rsidRDefault="00AD5D22" w:rsidP="00AD5D22">
      <w:pPr>
        <w:pStyle w:val="ListParagraph"/>
        <w:rPr>
          <w:b/>
          <w:bCs/>
        </w:rPr>
      </w:pPr>
    </w:p>
    <w:p w14:paraId="5BF01192" w14:textId="1ACAD3D6" w:rsidR="00AD5D22" w:rsidRDefault="00AD5D22" w:rsidP="00AD5D22">
      <w:pPr>
        <w:pStyle w:val="ListParagraph"/>
        <w:numPr>
          <w:ilvl w:val="0"/>
          <w:numId w:val="1"/>
        </w:numPr>
        <w:rPr>
          <w:rFonts w:ascii="Calibri" w:eastAsia="Calibri" w:hAnsi="Calibri" w:cs="Times New Roman"/>
          <w:b/>
          <w:bCs/>
        </w:rPr>
      </w:pPr>
      <w:r w:rsidRPr="00AD5D22">
        <w:rPr>
          <w:rFonts w:ascii="Calibri" w:eastAsia="Calibri" w:hAnsi="Calibri" w:cs="Times New Roman"/>
          <w:b/>
          <w:bCs/>
        </w:rPr>
        <w:lastRenderedPageBreak/>
        <w:t>APOLOGIES</w:t>
      </w:r>
    </w:p>
    <w:tbl>
      <w:tblPr>
        <w:tblStyle w:val="TableGrid"/>
        <w:tblW w:w="0" w:type="auto"/>
        <w:tblLook w:val="04A0" w:firstRow="1" w:lastRow="0" w:firstColumn="1" w:lastColumn="0" w:noHBand="0" w:noVBand="1"/>
      </w:tblPr>
      <w:tblGrid>
        <w:gridCol w:w="2140"/>
        <w:gridCol w:w="2140"/>
        <w:gridCol w:w="2660"/>
      </w:tblGrid>
      <w:tr w:rsidR="00AD5D22" w:rsidRPr="00AD5D22" w14:paraId="1DE4F089" w14:textId="77777777" w:rsidTr="00AD5D22">
        <w:trPr>
          <w:trHeight w:val="555"/>
        </w:trPr>
        <w:tc>
          <w:tcPr>
            <w:tcW w:w="2140" w:type="dxa"/>
            <w:hideMark/>
          </w:tcPr>
          <w:p w14:paraId="450C4AD0" w14:textId="77777777" w:rsidR="00AD5D22" w:rsidRPr="00AD5D22" w:rsidRDefault="00AD5D22" w:rsidP="00AD5D22">
            <w:pPr>
              <w:pStyle w:val="ListParagraph"/>
              <w:rPr>
                <w:rFonts w:ascii="Calibri" w:eastAsia="Calibri" w:hAnsi="Calibri" w:cs="Times New Roman"/>
              </w:rPr>
            </w:pPr>
            <w:r w:rsidRPr="00AD5D22">
              <w:rPr>
                <w:rFonts w:ascii="Calibri" w:eastAsia="Calibri" w:hAnsi="Calibri" w:cs="Times New Roman"/>
              </w:rPr>
              <w:t xml:space="preserve">Becky </w:t>
            </w:r>
          </w:p>
        </w:tc>
        <w:tc>
          <w:tcPr>
            <w:tcW w:w="2140" w:type="dxa"/>
            <w:noWrap/>
            <w:hideMark/>
          </w:tcPr>
          <w:p w14:paraId="039ED50C" w14:textId="77777777" w:rsidR="00AD5D22" w:rsidRPr="00AD5D22" w:rsidRDefault="00AD5D22" w:rsidP="00AD5D22">
            <w:pPr>
              <w:pStyle w:val="ListParagraph"/>
              <w:rPr>
                <w:rFonts w:ascii="Calibri" w:eastAsia="Calibri" w:hAnsi="Calibri" w:cs="Times New Roman"/>
              </w:rPr>
            </w:pPr>
            <w:r w:rsidRPr="00AD5D22">
              <w:rPr>
                <w:rFonts w:ascii="Calibri" w:eastAsia="Calibri" w:hAnsi="Calibri" w:cs="Times New Roman"/>
              </w:rPr>
              <w:t>Cooper</w:t>
            </w:r>
          </w:p>
        </w:tc>
        <w:tc>
          <w:tcPr>
            <w:tcW w:w="2660" w:type="dxa"/>
            <w:noWrap/>
            <w:hideMark/>
          </w:tcPr>
          <w:p w14:paraId="7F5FEBC5" w14:textId="77777777" w:rsidR="00AD5D22" w:rsidRPr="00AD5D22" w:rsidRDefault="00AD5D22" w:rsidP="00AD5D22">
            <w:pPr>
              <w:pStyle w:val="ListParagraph"/>
              <w:rPr>
                <w:rFonts w:ascii="Calibri" w:eastAsia="Calibri" w:hAnsi="Calibri" w:cs="Times New Roman"/>
              </w:rPr>
            </w:pPr>
            <w:r w:rsidRPr="00AD5D22">
              <w:rPr>
                <w:rFonts w:ascii="Calibri" w:eastAsia="Calibri" w:hAnsi="Calibri" w:cs="Times New Roman"/>
              </w:rPr>
              <w:t>Medway</w:t>
            </w:r>
          </w:p>
        </w:tc>
      </w:tr>
      <w:tr w:rsidR="00AD5D22" w:rsidRPr="00AD5D22" w14:paraId="24082B48" w14:textId="77777777" w:rsidTr="00AD5D22">
        <w:trPr>
          <w:trHeight w:val="630"/>
        </w:trPr>
        <w:tc>
          <w:tcPr>
            <w:tcW w:w="2140" w:type="dxa"/>
            <w:noWrap/>
            <w:hideMark/>
          </w:tcPr>
          <w:p w14:paraId="72EC76EE" w14:textId="77777777" w:rsidR="00AD5D22" w:rsidRPr="00AD5D22" w:rsidRDefault="00AD5D22" w:rsidP="00AD5D22">
            <w:pPr>
              <w:pStyle w:val="ListParagraph"/>
              <w:rPr>
                <w:rFonts w:ascii="Calibri" w:eastAsia="Calibri" w:hAnsi="Calibri" w:cs="Times New Roman"/>
              </w:rPr>
            </w:pPr>
            <w:r w:rsidRPr="00AD5D22">
              <w:rPr>
                <w:rFonts w:ascii="Calibri" w:eastAsia="Calibri" w:hAnsi="Calibri" w:cs="Times New Roman"/>
              </w:rPr>
              <w:t xml:space="preserve">Douglas </w:t>
            </w:r>
          </w:p>
        </w:tc>
        <w:tc>
          <w:tcPr>
            <w:tcW w:w="2140" w:type="dxa"/>
            <w:noWrap/>
            <w:hideMark/>
          </w:tcPr>
          <w:p w14:paraId="749B8D61" w14:textId="77777777" w:rsidR="00AD5D22" w:rsidRPr="00AD5D22" w:rsidRDefault="00AD5D22" w:rsidP="00AD5D22">
            <w:pPr>
              <w:pStyle w:val="ListParagraph"/>
              <w:rPr>
                <w:rFonts w:ascii="Calibri" w:eastAsia="Calibri" w:hAnsi="Calibri" w:cs="Times New Roman"/>
              </w:rPr>
            </w:pPr>
            <w:r w:rsidRPr="00AD5D22">
              <w:rPr>
                <w:rFonts w:ascii="Calibri" w:eastAsia="Calibri" w:hAnsi="Calibri" w:cs="Times New Roman"/>
              </w:rPr>
              <w:t>Sinclair</w:t>
            </w:r>
          </w:p>
        </w:tc>
        <w:tc>
          <w:tcPr>
            <w:tcW w:w="2660" w:type="dxa"/>
            <w:noWrap/>
            <w:hideMark/>
          </w:tcPr>
          <w:p w14:paraId="0E8BCB6F" w14:textId="77777777" w:rsidR="00AD5D22" w:rsidRPr="00AD5D22" w:rsidRDefault="00AD5D22" w:rsidP="00AD5D22">
            <w:pPr>
              <w:pStyle w:val="ListParagraph"/>
              <w:rPr>
                <w:rFonts w:ascii="Calibri" w:eastAsia="Calibri" w:hAnsi="Calibri" w:cs="Times New Roman"/>
              </w:rPr>
            </w:pPr>
            <w:r w:rsidRPr="00AD5D22">
              <w:rPr>
                <w:rFonts w:ascii="Calibri" w:eastAsia="Calibri" w:hAnsi="Calibri" w:cs="Times New Roman"/>
              </w:rPr>
              <w:t>East Sussex</w:t>
            </w:r>
          </w:p>
        </w:tc>
      </w:tr>
      <w:tr w:rsidR="00AD5D22" w:rsidRPr="00AD5D22" w14:paraId="47E827C2" w14:textId="77777777" w:rsidTr="00AD5D22">
        <w:trPr>
          <w:trHeight w:val="630"/>
        </w:trPr>
        <w:tc>
          <w:tcPr>
            <w:tcW w:w="2140" w:type="dxa"/>
            <w:noWrap/>
            <w:hideMark/>
          </w:tcPr>
          <w:p w14:paraId="68712758" w14:textId="77777777" w:rsidR="00AD5D22" w:rsidRPr="00AD5D22" w:rsidRDefault="00AD5D22" w:rsidP="00AD5D22">
            <w:pPr>
              <w:pStyle w:val="ListParagraph"/>
              <w:rPr>
                <w:rFonts w:ascii="Calibri" w:eastAsia="Calibri" w:hAnsi="Calibri" w:cs="Times New Roman"/>
              </w:rPr>
            </w:pPr>
            <w:r w:rsidRPr="00AD5D22">
              <w:rPr>
                <w:rFonts w:ascii="Calibri" w:eastAsia="Calibri" w:hAnsi="Calibri" w:cs="Times New Roman"/>
              </w:rPr>
              <w:t>Simon</w:t>
            </w:r>
          </w:p>
        </w:tc>
        <w:tc>
          <w:tcPr>
            <w:tcW w:w="2140" w:type="dxa"/>
            <w:noWrap/>
            <w:hideMark/>
          </w:tcPr>
          <w:p w14:paraId="57FF5207" w14:textId="77777777" w:rsidR="00AD5D22" w:rsidRPr="00AD5D22" w:rsidRDefault="00AD5D22" w:rsidP="00AD5D22">
            <w:pPr>
              <w:pStyle w:val="ListParagraph"/>
              <w:rPr>
                <w:rFonts w:ascii="Calibri" w:eastAsia="Calibri" w:hAnsi="Calibri" w:cs="Times New Roman"/>
              </w:rPr>
            </w:pPr>
            <w:r w:rsidRPr="00AD5D22">
              <w:rPr>
                <w:rFonts w:ascii="Calibri" w:eastAsia="Calibri" w:hAnsi="Calibri" w:cs="Times New Roman"/>
              </w:rPr>
              <w:t>Dear</w:t>
            </w:r>
          </w:p>
        </w:tc>
        <w:tc>
          <w:tcPr>
            <w:tcW w:w="2660" w:type="dxa"/>
            <w:noWrap/>
            <w:hideMark/>
          </w:tcPr>
          <w:p w14:paraId="78FAC86E" w14:textId="77777777" w:rsidR="00AD5D22" w:rsidRPr="00AD5D22" w:rsidRDefault="00AD5D22" w:rsidP="00AD5D22">
            <w:pPr>
              <w:pStyle w:val="ListParagraph"/>
              <w:rPr>
                <w:rFonts w:ascii="Calibri" w:eastAsia="Calibri" w:hAnsi="Calibri" w:cs="Times New Roman"/>
              </w:rPr>
            </w:pPr>
            <w:r w:rsidRPr="00AD5D22">
              <w:rPr>
                <w:rFonts w:ascii="Calibri" w:eastAsia="Calibri" w:hAnsi="Calibri" w:cs="Times New Roman"/>
              </w:rPr>
              <w:t>IOW</w:t>
            </w:r>
          </w:p>
        </w:tc>
      </w:tr>
      <w:tr w:rsidR="00AD5D22" w:rsidRPr="00AD5D22" w14:paraId="071B6CE8" w14:textId="77777777" w:rsidTr="00AD5D22">
        <w:trPr>
          <w:trHeight w:val="615"/>
        </w:trPr>
        <w:tc>
          <w:tcPr>
            <w:tcW w:w="2140" w:type="dxa"/>
            <w:noWrap/>
            <w:hideMark/>
          </w:tcPr>
          <w:p w14:paraId="304A2ACC" w14:textId="77777777" w:rsidR="00AD5D22" w:rsidRPr="00AD5D22" w:rsidRDefault="00AD5D22" w:rsidP="00AD5D22">
            <w:pPr>
              <w:pStyle w:val="ListParagraph"/>
              <w:rPr>
                <w:rFonts w:ascii="Calibri" w:eastAsia="Calibri" w:hAnsi="Calibri" w:cs="Times New Roman"/>
              </w:rPr>
            </w:pPr>
            <w:r w:rsidRPr="00AD5D22">
              <w:rPr>
                <w:rFonts w:ascii="Calibri" w:eastAsia="Calibri" w:hAnsi="Calibri" w:cs="Times New Roman"/>
              </w:rPr>
              <w:t>Tan</w:t>
            </w:r>
          </w:p>
        </w:tc>
        <w:tc>
          <w:tcPr>
            <w:tcW w:w="2140" w:type="dxa"/>
            <w:noWrap/>
            <w:hideMark/>
          </w:tcPr>
          <w:p w14:paraId="2858AE7A" w14:textId="77777777" w:rsidR="00AD5D22" w:rsidRPr="00AD5D22" w:rsidRDefault="00AD5D22" w:rsidP="00AD5D22">
            <w:pPr>
              <w:pStyle w:val="ListParagraph"/>
              <w:rPr>
                <w:rFonts w:ascii="Calibri" w:eastAsia="Calibri" w:hAnsi="Calibri" w:cs="Times New Roman"/>
              </w:rPr>
            </w:pPr>
            <w:r w:rsidRPr="00AD5D22">
              <w:rPr>
                <w:rFonts w:ascii="Calibri" w:eastAsia="Calibri" w:hAnsi="Calibri" w:cs="Times New Roman"/>
              </w:rPr>
              <w:t>Lea</w:t>
            </w:r>
          </w:p>
        </w:tc>
        <w:tc>
          <w:tcPr>
            <w:tcW w:w="2660" w:type="dxa"/>
            <w:noWrap/>
            <w:hideMark/>
          </w:tcPr>
          <w:p w14:paraId="6D2A340B" w14:textId="77777777" w:rsidR="00AD5D22" w:rsidRPr="00AD5D22" w:rsidRDefault="00AD5D22" w:rsidP="00AD5D22">
            <w:pPr>
              <w:pStyle w:val="ListParagraph"/>
              <w:rPr>
                <w:rFonts w:ascii="Calibri" w:eastAsia="Calibri" w:hAnsi="Calibri" w:cs="Times New Roman"/>
              </w:rPr>
            </w:pPr>
            <w:r w:rsidRPr="00AD5D22">
              <w:rPr>
                <w:rFonts w:ascii="Calibri" w:eastAsia="Calibri" w:hAnsi="Calibri" w:cs="Times New Roman"/>
              </w:rPr>
              <w:t>Oxfordshire</w:t>
            </w:r>
          </w:p>
        </w:tc>
      </w:tr>
    </w:tbl>
    <w:p w14:paraId="722D6BE1" w14:textId="77777777" w:rsidR="00AD5D22" w:rsidRPr="00AD5D22" w:rsidRDefault="00AD5D22" w:rsidP="00AD5D22">
      <w:pPr>
        <w:pStyle w:val="ListParagraph"/>
        <w:rPr>
          <w:rFonts w:ascii="Calibri" w:eastAsia="Calibri" w:hAnsi="Calibri" w:cs="Times New Roman"/>
          <w:b/>
          <w:bCs/>
        </w:rPr>
      </w:pPr>
    </w:p>
    <w:p w14:paraId="54DA5DD0" w14:textId="1F4FA9C8" w:rsidR="00646942" w:rsidRDefault="00AD5D22">
      <w:pPr>
        <w:rPr>
          <w:i/>
          <w:iCs/>
        </w:rPr>
      </w:pPr>
      <w:r>
        <w:rPr>
          <w:i/>
          <w:iCs/>
        </w:rPr>
        <w:t>This is not a full minute of the meeting</w:t>
      </w:r>
    </w:p>
    <w:p w14:paraId="4E312237" w14:textId="5661B7D1" w:rsidR="00AD7A6E" w:rsidRPr="00681AE9" w:rsidRDefault="00AD7A6E" w:rsidP="00AD7A6E">
      <w:pPr>
        <w:pStyle w:val="ListParagraph"/>
        <w:numPr>
          <w:ilvl w:val="0"/>
          <w:numId w:val="1"/>
        </w:numPr>
      </w:pPr>
      <w:r>
        <w:rPr>
          <w:b/>
          <w:bCs/>
        </w:rPr>
        <w:t>Common Components of a QA Framework</w:t>
      </w:r>
    </w:p>
    <w:p w14:paraId="7DD5B4C6" w14:textId="299CD271" w:rsidR="00681AE9" w:rsidRDefault="00681AE9" w:rsidP="00681AE9">
      <w:pPr>
        <w:pStyle w:val="ListParagraph"/>
      </w:pPr>
      <w:r>
        <w:t xml:space="preserve">Presentation given by Diane Williamson outlining the proposal for the Common Components of a QA Framework. </w:t>
      </w:r>
      <w:r w:rsidRPr="00681AE9">
        <w:t>This proposal identifies 12 core components for a Quality Assurance Framework with brief (not exhaustive) explanatory notes to help to develop a common understanding that should be tailored for each organisation. We have listed the 12 components discussed at the last meeting and organised them in way that holds together as a whole system.  The proposal and guidanc</w:t>
      </w:r>
      <w:r>
        <w:t>e</w:t>
      </w:r>
      <w:r w:rsidRPr="00681AE9">
        <w:t xml:space="preserve"> </w:t>
      </w:r>
      <w:proofErr w:type="gramStart"/>
      <w:r w:rsidRPr="00681AE9">
        <w:t>is</w:t>
      </w:r>
      <w:proofErr w:type="gramEnd"/>
      <w:r w:rsidRPr="00681AE9">
        <w:t xml:space="preserve"> based on our review of the </w:t>
      </w:r>
      <w:r>
        <w:t>QAF</w:t>
      </w:r>
      <w:r w:rsidRPr="00681AE9">
        <w:t>s across the region, review of some work done by the North West ADCS group and a briefing by Research in Practice</w:t>
      </w:r>
      <w:r>
        <w:t>.  The proposal is endorsed by the project sponsor.</w:t>
      </w:r>
    </w:p>
    <w:p w14:paraId="0041FB84" w14:textId="2AB12C8D" w:rsidR="00681AE9" w:rsidRDefault="00681AE9" w:rsidP="00681AE9">
      <w:pPr>
        <w:pStyle w:val="ListParagraph"/>
      </w:pPr>
      <w:r>
        <w:t>The group agreed that the proposal was helpful and there is agreement across the QA Leads to use these common components as a framework to develop commonality and shared understanding.</w:t>
      </w:r>
    </w:p>
    <w:p w14:paraId="6A06EFCB" w14:textId="509DAF13" w:rsidR="00681AE9" w:rsidRDefault="00681AE9" w:rsidP="00681AE9">
      <w:pPr>
        <w:pStyle w:val="ListParagraph"/>
      </w:pPr>
      <w:r>
        <w:t>The group also discussed a brief questionnaire to be sent to Directors alongside the proposal. The aim of the questionnaire is for it to be completed by the DCS and senior management teams as a self</w:t>
      </w:r>
      <w:r w:rsidR="001A16CC">
        <w:t>-</w:t>
      </w:r>
      <w:r>
        <w:t xml:space="preserve"> evaluation to help them reflect on their understanding and confidence of quality assurance in their organisation.  The group felt it would also be helpful for the QA leads to complete the questionnaire independently and triangulate their reflections with those of the DCS to support discussion within their organisations.</w:t>
      </w:r>
    </w:p>
    <w:p w14:paraId="0455F402" w14:textId="707EAB9E" w:rsidR="00681AE9" w:rsidRDefault="00681AE9" w:rsidP="00681AE9">
      <w:pPr>
        <w:pStyle w:val="ListParagraph"/>
      </w:pPr>
    </w:p>
    <w:p w14:paraId="468AC3C2" w14:textId="3FBF220E" w:rsidR="00681AE9" w:rsidRDefault="00681AE9" w:rsidP="00681AE9">
      <w:pPr>
        <w:pStyle w:val="ListParagraph"/>
        <w:rPr>
          <w:b/>
          <w:bCs/>
        </w:rPr>
      </w:pPr>
      <w:r>
        <w:rPr>
          <w:b/>
          <w:bCs/>
        </w:rPr>
        <w:t>Action:</w:t>
      </w:r>
    </w:p>
    <w:p w14:paraId="228A5193" w14:textId="4F296ECE" w:rsidR="00681AE9" w:rsidRDefault="00681AE9" w:rsidP="00681AE9">
      <w:pPr>
        <w:pStyle w:val="ListParagraph"/>
      </w:pPr>
      <w:r>
        <w:t>Proposal and questionnaire to be sent to DCS Group and the QA leads (Diane)</w:t>
      </w:r>
    </w:p>
    <w:p w14:paraId="26BC5E22" w14:textId="77777777" w:rsidR="00A52E47" w:rsidRDefault="00A52E47" w:rsidP="00681AE9">
      <w:pPr>
        <w:pStyle w:val="ListParagraph"/>
      </w:pPr>
    </w:p>
    <w:p w14:paraId="1E211A0F" w14:textId="76D1F33B" w:rsidR="00A52E47" w:rsidRDefault="006659C9" w:rsidP="00A52E47">
      <w:pPr>
        <w:pStyle w:val="ListParagraph"/>
        <w:numPr>
          <w:ilvl w:val="0"/>
          <w:numId w:val="1"/>
        </w:numPr>
        <w:rPr>
          <w:b/>
          <w:bCs/>
        </w:rPr>
      </w:pPr>
      <w:r>
        <w:rPr>
          <w:b/>
          <w:bCs/>
        </w:rPr>
        <w:t xml:space="preserve">Developing a Shared Understanding of ‘Good’ Practice and ‘Good’ Quality Assurance </w:t>
      </w:r>
    </w:p>
    <w:p w14:paraId="6F6D15F1" w14:textId="6DBDA306" w:rsidR="006659C9" w:rsidRDefault="006659C9" w:rsidP="006659C9">
      <w:pPr>
        <w:pStyle w:val="ListParagraph"/>
      </w:pPr>
      <w:r>
        <w:t>Presentation by Amanda Meadows outlining the approach Hampshire take to assess and evaluate themselves against the Ofsted Criteria for being judged ‘good’ in an ILACS inspection. The presentation can be found on the Restricted Quality Assurance page of the SESLIP website.</w:t>
      </w:r>
    </w:p>
    <w:p w14:paraId="715B0E54" w14:textId="4D41B2DD" w:rsidR="006659C9" w:rsidRDefault="006659C9" w:rsidP="006659C9">
      <w:pPr>
        <w:pStyle w:val="ListParagraph"/>
      </w:pPr>
    </w:p>
    <w:p w14:paraId="6C7795FC" w14:textId="08C6CAF0" w:rsidR="006659C9" w:rsidRDefault="006659C9" w:rsidP="006659C9">
      <w:pPr>
        <w:pStyle w:val="ListParagraph"/>
      </w:pPr>
      <w:r>
        <w:t>Presentation by Sophie Carter outlining the approach to case file audit in order to understand and improve the quality of practice in West Sussex</w:t>
      </w:r>
    </w:p>
    <w:p w14:paraId="4D640266" w14:textId="10BCD927" w:rsidR="006659C9" w:rsidRDefault="006659C9" w:rsidP="006659C9">
      <w:pPr>
        <w:pStyle w:val="ListParagraph"/>
      </w:pPr>
    </w:p>
    <w:p w14:paraId="37E35555" w14:textId="1ABED30F" w:rsidR="006659C9" w:rsidRDefault="006659C9" w:rsidP="006659C9">
      <w:pPr>
        <w:pStyle w:val="ListParagraph"/>
        <w:numPr>
          <w:ilvl w:val="0"/>
          <w:numId w:val="1"/>
        </w:numPr>
        <w:rPr>
          <w:b/>
          <w:bCs/>
        </w:rPr>
      </w:pPr>
      <w:r>
        <w:rPr>
          <w:b/>
          <w:bCs/>
        </w:rPr>
        <w:t xml:space="preserve">Development of the SESLIP QA web pages </w:t>
      </w:r>
    </w:p>
    <w:p w14:paraId="0DDC9E15" w14:textId="27555C82" w:rsidR="001A16CC" w:rsidRDefault="001A16CC" w:rsidP="001A16CC">
      <w:pPr>
        <w:pStyle w:val="ListParagraph"/>
      </w:pPr>
      <w:r>
        <w:t>Local Authorities have provided up to date contact arrangements for their QA Leads and additional nominated officers for access to the ‘restricted’ QA area that is being set up in order for authorities to share QA practice.</w:t>
      </w:r>
      <w:r w:rsidR="00C86B9F">
        <w:t xml:space="preserve"> The proposed format for the area was shared and discussed.</w:t>
      </w:r>
    </w:p>
    <w:p w14:paraId="21D6840B" w14:textId="16651AAB" w:rsidR="00C86B9F" w:rsidRPr="00C86B9F" w:rsidRDefault="00C86B9F" w:rsidP="00C86B9F">
      <w:pPr>
        <w:spacing w:after="150" w:line="240" w:lineRule="auto"/>
        <w:ind w:left="720"/>
        <w:rPr>
          <w:rFonts w:eastAsia="Times New Roman" w:cstheme="minorHAnsi"/>
          <w:b/>
          <w:bCs/>
          <w:lang w:eastAsia="en-GB"/>
        </w:rPr>
      </w:pPr>
      <w:r>
        <w:rPr>
          <w:rFonts w:eastAsia="Times New Roman" w:cstheme="minorHAnsi"/>
          <w:b/>
          <w:bCs/>
          <w:lang w:eastAsia="en-GB"/>
        </w:rPr>
        <w:lastRenderedPageBreak/>
        <w:t>Decisions:</w:t>
      </w:r>
    </w:p>
    <w:p w14:paraId="0FA9C7D9" w14:textId="6A9723B2" w:rsidR="00C86B9F" w:rsidRDefault="00C86B9F" w:rsidP="00C86B9F">
      <w:pPr>
        <w:pStyle w:val="ListParagraph"/>
        <w:numPr>
          <w:ilvl w:val="0"/>
          <w:numId w:val="2"/>
        </w:numPr>
        <w:spacing w:after="150" w:line="240" w:lineRule="auto"/>
        <w:rPr>
          <w:rFonts w:eastAsia="Times New Roman" w:cstheme="minorHAnsi"/>
          <w:lang w:eastAsia="en-GB"/>
        </w:rPr>
      </w:pPr>
      <w:r w:rsidRPr="00C86B9F">
        <w:rPr>
          <w:rFonts w:eastAsia="Times New Roman" w:cstheme="minorHAnsi"/>
          <w:lang w:eastAsia="en-GB"/>
        </w:rPr>
        <w:t>The documents on this area of the website documents is restricted to members of the South East Sector Led Improvement Programme (SESLIP) Quality Assurance Leads Group and their nominated officers</w:t>
      </w:r>
      <w:r w:rsidR="002B28DF">
        <w:rPr>
          <w:rFonts w:eastAsia="Times New Roman" w:cstheme="minorHAnsi"/>
          <w:lang w:eastAsia="en-GB"/>
        </w:rPr>
        <w:t>, DCSs and AD Safeguarding network</w:t>
      </w:r>
      <w:r w:rsidRPr="00C86B9F">
        <w:rPr>
          <w:rFonts w:eastAsia="Times New Roman" w:cstheme="minorHAnsi"/>
          <w:lang w:eastAsia="en-GB"/>
        </w:rPr>
        <w:t>. Confidential organisational information is shared under the terms of the current SESLIP </w:t>
      </w:r>
      <w:hyperlink r:id="rId7" w:tgtFrame="_blank" w:history="1">
        <w:r w:rsidRPr="00C86B9F">
          <w:rPr>
            <w:rFonts w:eastAsia="Times New Roman" w:cstheme="minorHAnsi"/>
            <w:lang w:eastAsia="en-GB"/>
          </w:rPr>
          <w:t>Memorandum of Understanding</w:t>
        </w:r>
      </w:hyperlink>
      <w:r w:rsidRPr="00C86B9F">
        <w:rPr>
          <w:rFonts w:eastAsia="Times New Roman" w:cstheme="minorHAnsi"/>
          <w:lang w:eastAsia="en-GB"/>
        </w:rPr>
        <w:t>. An aim of this project is to share tools and learning across the South East Region.</w:t>
      </w:r>
    </w:p>
    <w:p w14:paraId="0D7255DD" w14:textId="77777777" w:rsidR="00C86B9F" w:rsidRPr="00C86B9F" w:rsidRDefault="00C86B9F" w:rsidP="00C86B9F">
      <w:pPr>
        <w:pStyle w:val="ListParagraph"/>
        <w:spacing w:after="150" w:line="240" w:lineRule="auto"/>
        <w:ind w:left="1440"/>
        <w:rPr>
          <w:rFonts w:eastAsia="Times New Roman" w:cstheme="minorHAnsi"/>
          <w:lang w:eastAsia="en-GB"/>
        </w:rPr>
      </w:pPr>
    </w:p>
    <w:p w14:paraId="5158021E" w14:textId="7654C351" w:rsidR="00C86B9F" w:rsidRDefault="00C86B9F" w:rsidP="00C86B9F">
      <w:pPr>
        <w:pStyle w:val="ListParagraph"/>
        <w:numPr>
          <w:ilvl w:val="0"/>
          <w:numId w:val="2"/>
        </w:numPr>
        <w:spacing w:after="150" w:line="240" w:lineRule="auto"/>
        <w:rPr>
          <w:rFonts w:eastAsia="Times New Roman" w:cstheme="minorHAnsi"/>
          <w:lang w:eastAsia="en-GB"/>
        </w:rPr>
      </w:pPr>
      <w:r w:rsidRPr="00C86B9F">
        <w:rPr>
          <w:rFonts w:eastAsia="Times New Roman" w:cstheme="minorHAnsi"/>
          <w:lang w:eastAsia="en-GB"/>
        </w:rPr>
        <w:t>Members agreed not reproduce or share the tools on this page outside of the region without the explicit consent of the authority that owns the document. Audit tools may be used in your authority.</w:t>
      </w:r>
    </w:p>
    <w:p w14:paraId="279548E5" w14:textId="77777777" w:rsidR="00C86B9F" w:rsidRPr="00C86B9F" w:rsidRDefault="00C86B9F" w:rsidP="00C86B9F">
      <w:pPr>
        <w:pStyle w:val="ListParagraph"/>
        <w:rPr>
          <w:rFonts w:eastAsia="Times New Roman" w:cstheme="minorHAnsi"/>
          <w:lang w:eastAsia="en-GB"/>
        </w:rPr>
      </w:pPr>
    </w:p>
    <w:p w14:paraId="2CD5F7EF" w14:textId="68195697" w:rsidR="00C86B9F" w:rsidRDefault="00C86B9F" w:rsidP="00C86B9F">
      <w:pPr>
        <w:pStyle w:val="ListParagraph"/>
        <w:numPr>
          <w:ilvl w:val="0"/>
          <w:numId w:val="2"/>
        </w:numPr>
        <w:spacing w:after="150" w:line="240" w:lineRule="auto"/>
        <w:rPr>
          <w:rFonts w:eastAsia="Times New Roman" w:cstheme="minorHAnsi"/>
          <w:lang w:eastAsia="en-GB"/>
        </w:rPr>
      </w:pPr>
      <w:r>
        <w:rPr>
          <w:rFonts w:eastAsia="Times New Roman" w:cstheme="minorHAnsi"/>
          <w:lang w:eastAsia="en-GB"/>
        </w:rPr>
        <w:t>Documents with be filed under both the Local Authority and Document Type menus</w:t>
      </w:r>
    </w:p>
    <w:p w14:paraId="5A3240AA" w14:textId="77777777" w:rsidR="00C86B9F" w:rsidRPr="00C86B9F" w:rsidRDefault="00C86B9F" w:rsidP="00C86B9F">
      <w:pPr>
        <w:pStyle w:val="ListParagraph"/>
        <w:rPr>
          <w:rFonts w:eastAsia="Times New Roman" w:cstheme="minorHAnsi"/>
          <w:lang w:eastAsia="en-GB"/>
        </w:rPr>
      </w:pPr>
    </w:p>
    <w:p w14:paraId="2F1BD7CB" w14:textId="0EEA0406" w:rsidR="00C86B9F" w:rsidRDefault="00C86B9F" w:rsidP="00C86B9F">
      <w:pPr>
        <w:pStyle w:val="ListParagraph"/>
        <w:numPr>
          <w:ilvl w:val="0"/>
          <w:numId w:val="2"/>
        </w:numPr>
        <w:spacing w:after="150" w:line="240" w:lineRule="auto"/>
        <w:rPr>
          <w:rFonts w:eastAsia="Times New Roman" w:cstheme="minorHAnsi"/>
          <w:lang w:eastAsia="en-GB"/>
        </w:rPr>
      </w:pPr>
      <w:r>
        <w:rPr>
          <w:rFonts w:eastAsia="Times New Roman" w:cstheme="minorHAnsi"/>
          <w:lang w:eastAsia="en-GB"/>
        </w:rPr>
        <w:t>Documents remain owned by the LA submitting the document and will only be uploaded if submitted by the QA lead</w:t>
      </w:r>
      <w:r w:rsidR="000A7FA3">
        <w:rPr>
          <w:rFonts w:eastAsia="Times New Roman" w:cstheme="minorHAnsi"/>
          <w:lang w:eastAsia="en-GB"/>
        </w:rPr>
        <w:t xml:space="preserve"> who will ensure that they have the authority to submit the document and will remain responsible for asking for the document to be updated or deleted.  The QA leads will also be the named contact person for any documents for their authority</w:t>
      </w:r>
    </w:p>
    <w:p w14:paraId="4EBCC75C" w14:textId="77777777" w:rsidR="00C86B9F" w:rsidRPr="00C86B9F" w:rsidRDefault="00C86B9F" w:rsidP="00C86B9F">
      <w:pPr>
        <w:pStyle w:val="ListParagraph"/>
        <w:rPr>
          <w:rFonts w:eastAsia="Times New Roman" w:cstheme="minorHAnsi"/>
          <w:lang w:eastAsia="en-GB"/>
        </w:rPr>
      </w:pPr>
    </w:p>
    <w:p w14:paraId="460BD37A" w14:textId="6A979689" w:rsidR="00C86B9F" w:rsidRDefault="000A7FA3" w:rsidP="00C86B9F">
      <w:pPr>
        <w:pStyle w:val="ListParagraph"/>
        <w:numPr>
          <w:ilvl w:val="0"/>
          <w:numId w:val="2"/>
        </w:numPr>
        <w:spacing w:after="150" w:line="240" w:lineRule="auto"/>
        <w:rPr>
          <w:rFonts w:eastAsia="Times New Roman" w:cstheme="minorHAnsi"/>
          <w:lang w:eastAsia="en-GB"/>
        </w:rPr>
      </w:pPr>
      <w:r>
        <w:rPr>
          <w:rFonts w:eastAsia="Times New Roman" w:cstheme="minorHAnsi"/>
          <w:lang w:eastAsia="en-GB"/>
        </w:rPr>
        <w:t>Documents will be sent to Diane Williamson SESLIP consultant for uploading</w:t>
      </w:r>
    </w:p>
    <w:p w14:paraId="754C91B4" w14:textId="77777777" w:rsidR="000A7FA3" w:rsidRPr="000A7FA3" w:rsidRDefault="000A7FA3" w:rsidP="000A7FA3">
      <w:pPr>
        <w:pStyle w:val="ListParagraph"/>
        <w:rPr>
          <w:rFonts w:eastAsia="Times New Roman" w:cstheme="minorHAnsi"/>
          <w:lang w:eastAsia="en-GB"/>
        </w:rPr>
      </w:pPr>
    </w:p>
    <w:p w14:paraId="547706CC" w14:textId="4A6E9265" w:rsidR="000A7FA3" w:rsidRDefault="000A7FA3" w:rsidP="00C86B9F">
      <w:pPr>
        <w:pStyle w:val="ListParagraph"/>
        <w:numPr>
          <w:ilvl w:val="0"/>
          <w:numId w:val="2"/>
        </w:numPr>
        <w:spacing w:after="150" w:line="240" w:lineRule="auto"/>
        <w:rPr>
          <w:rFonts w:eastAsia="Times New Roman" w:cstheme="minorHAnsi"/>
          <w:lang w:eastAsia="en-GB"/>
        </w:rPr>
      </w:pPr>
      <w:r>
        <w:rPr>
          <w:rFonts w:eastAsia="Times New Roman" w:cstheme="minorHAnsi"/>
          <w:lang w:eastAsia="en-GB"/>
        </w:rPr>
        <w:t>Changes in contact details or details of nominated officers will be notified to Diane Williamson who will ensure the changes are made on the website</w:t>
      </w:r>
    </w:p>
    <w:p w14:paraId="39892279" w14:textId="77777777" w:rsidR="000A7FA3" w:rsidRPr="000A7FA3" w:rsidRDefault="000A7FA3" w:rsidP="000A7FA3">
      <w:pPr>
        <w:pStyle w:val="ListParagraph"/>
        <w:rPr>
          <w:rFonts w:eastAsia="Times New Roman" w:cstheme="minorHAnsi"/>
          <w:lang w:eastAsia="en-GB"/>
        </w:rPr>
      </w:pPr>
    </w:p>
    <w:p w14:paraId="3D9C8AE4" w14:textId="25B396DB" w:rsidR="000A7FA3" w:rsidRDefault="000A7FA3" w:rsidP="00C86B9F">
      <w:pPr>
        <w:pStyle w:val="ListParagraph"/>
        <w:numPr>
          <w:ilvl w:val="0"/>
          <w:numId w:val="2"/>
        </w:numPr>
        <w:spacing w:after="150" w:line="240" w:lineRule="auto"/>
        <w:rPr>
          <w:rFonts w:eastAsia="Times New Roman" w:cstheme="minorHAnsi"/>
          <w:lang w:eastAsia="en-GB"/>
        </w:rPr>
      </w:pPr>
      <w:r>
        <w:rPr>
          <w:rFonts w:eastAsia="Times New Roman" w:cstheme="minorHAnsi"/>
          <w:lang w:eastAsia="en-GB"/>
        </w:rPr>
        <w:t>Information will be checked quarterly by Diane Williamson to ensure it remains accurate</w:t>
      </w:r>
    </w:p>
    <w:p w14:paraId="58086B70" w14:textId="77777777" w:rsidR="000A7FA3" w:rsidRPr="000A7FA3" w:rsidRDefault="000A7FA3" w:rsidP="000A7FA3">
      <w:pPr>
        <w:pStyle w:val="ListParagraph"/>
        <w:rPr>
          <w:rFonts w:eastAsia="Times New Roman" w:cstheme="minorHAnsi"/>
          <w:lang w:eastAsia="en-GB"/>
        </w:rPr>
      </w:pPr>
    </w:p>
    <w:p w14:paraId="75AF1012" w14:textId="77777777" w:rsidR="000A7FA3" w:rsidRPr="00C86B9F" w:rsidRDefault="000A7FA3" w:rsidP="000A7FA3">
      <w:pPr>
        <w:pStyle w:val="ListParagraph"/>
        <w:spacing w:after="150" w:line="240" w:lineRule="auto"/>
        <w:ind w:left="1440"/>
        <w:rPr>
          <w:rFonts w:eastAsia="Times New Roman" w:cstheme="minorHAnsi"/>
          <w:lang w:eastAsia="en-GB"/>
        </w:rPr>
      </w:pPr>
    </w:p>
    <w:p w14:paraId="10CAA7AB" w14:textId="4237B93D" w:rsidR="00C86B9F" w:rsidRDefault="000A7FA3" w:rsidP="000A7FA3">
      <w:pPr>
        <w:pStyle w:val="ListParagraph"/>
        <w:numPr>
          <w:ilvl w:val="0"/>
          <w:numId w:val="1"/>
        </w:numPr>
        <w:rPr>
          <w:b/>
          <w:bCs/>
        </w:rPr>
      </w:pPr>
      <w:r w:rsidRPr="000A7FA3">
        <w:rPr>
          <w:b/>
          <w:bCs/>
        </w:rPr>
        <w:t>Future QA Leads meetings</w:t>
      </w:r>
    </w:p>
    <w:p w14:paraId="6ECA3219" w14:textId="7BB5A49B" w:rsidR="000A7FA3" w:rsidRDefault="000A7FA3" w:rsidP="000A7FA3">
      <w:pPr>
        <w:pStyle w:val="ListParagraph"/>
      </w:pPr>
      <w:r>
        <w:t xml:space="preserve">The SESLIP DCS steering group has expressed an interest in the work of the QA Leads Groups enhancing the work that takes place in the Triad/Quartet group meetings and are looking for ongoing commitment for this are of work. Hopefully, by developing the relationships and network of QA leads this will </w:t>
      </w:r>
      <w:r w:rsidR="00BF000D">
        <w:t>help with the support and challenge in the Triad groups with increased shared understanding of practice and QA, common understanding of the components of QA and common language.</w:t>
      </w:r>
    </w:p>
    <w:p w14:paraId="0278D482" w14:textId="707D3EFD" w:rsidR="00BF000D" w:rsidRDefault="00BF000D" w:rsidP="000A7FA3">
      <w:pPr>
        <w:pStyle w:val="ListParagraph"/>
      </w:pPr>
    </w:p>
    <w:p w14:paraId="0FE65FDC" w14:textId="5EA38578" w:rsidR="00BF000D" w:rsidRDefault="00BF000D" w:rsidP="000A7FA3">
      <w:pPr>
        <w:pStyle w:val="ListParagraph"/>
        <w:rPr>
          <w:b/>
          <w:bCs/>
        </w:rPr>
      </w:pPr>
      <w:r>
        <w:rPr>
          <w:b/>
          <w:bCs/>
        </w:rPr>
        <w:t>Decisions</w:t>
      </w:r>
    </w:p>
    <w:p w14:paraId="424440CF" w14:textId="37B0FD6E" w:rsidR="00BF000D" w:rsidRDefault="00BF000D" w:rsidP="00BF000D">
      <w:pPr>
        <w:pStyle w:val="ListParagraph"/>
        <w:numPr>
          <w:ilvl w:val="0"/>
          <w:numId w:val="3"/>
        </w:numPr>
      </w:pPr>
      <w:r>
        <w:t>Agreement to 4 extended meetings a year of the QA Leads group – continuing to be sponsored by Hampshire and supported by Diane Williamson</w:t>
      </w:r>
    </w:p>
    <w:p w14:paraId="1B2C99E6" w14:textId="2C078E86" w:rsidR="00BF000D" w:rsidRDefault="00BF000D" w:rsidP="00BF000D">
      <w:pPr>
        <w:pStyle w:val="ListParagraph"/>
        <w:numPr>
          <w:ilvl w:val="0"/>
          <w:numId w:val="3"/>
        </w:numPr>
      </w:pPr>
      <w:r>
        <w:t>The meetings will involve a mixture of whole group work; discussions in the Triad Groups and discussions in contextually similar groups</w:t>
      </w:r>
    </w:p>
    <w:p w14:paraId="38F362CD" w14:textId="0F5CFC8A" w:rsidR="00BF000D" w:rsidRDefault="00BF000D" w:rsidP="00BF000D">
      <w:pPr>
        <w:ind w:left="720"/>
        <w:rPr>
          <w:b/>
          <w:bCs/>
        </w:rPr>
      </w:pPr>
      <w:r>
        <w:rPr>
          <w:b/>
          <w:bCs/>
        </w:rPr>
        <w:t>Ideas for future meetings:</w:t>
      </w:r>
    </w:p>
    <w:p w14:paraId="7D50FB78" w14:textId="1A187120" w:rsidR="00BF000D" w:rsidRDefault="00BF000D" w:rsidP="00BF000D">
      <w:pPr>
        <w:pStyle w:val="ListParagraph"/>
        <w:numPr>
          <w:ilvl w:val="0"/>
          <w:numId w:val="4"/>
        </w:numPr>
      </w:pPr>
      <w:r>
        <w:t>How do we evidence outcomes?</w:t>
      </w:r>
    </w:p>
    <w:p w14:paraId="36B89398" w14:textId="63018DA3" w:rsidR="00BF000D" w:rsidRDefault="00BF000D" w:rsidP="00BF000D">
      <w:pPr>
        <w:pStyle w:val="ListParagraph"/>
        <w:numPr>
          <w:ilvl w:val="0"/>
          <w:numId w:val="4"/>
        </w:numPr>
      </w:pPr>
      <w:r>
        <w:t>How do we develop a learning culture?</w:t>
      </w:r>
    </w:p>
    <w:p w14:paraId="7F37C23A" w14:textId="4DA38EBD" w:rsidR="00BF000D" w:rsidRDefault="00BF000D" w:rsidP="00BF000D">
      <w:pPr>
        <w:pStyle w:val="ListParagraph"/>
        <w:numPr>
          <w:ilvl w:val="0"/>
          <w:numId w:val="4"/>
        </w:numPr>
      </w:pPr>
      <w:r>
        <w:t>How do you embed learning and demonstrate impact on practice?</w:t>
      </w:r>
    </w:p>
    <w:p w14:paraId="6C2EB8E1" w14:textId="16A7D16A" w:rsidR="00BF000D" w:rsidRDefault="00BF000D" w:rsidP="00BF000D">
      <w:pPr>
        <w:pStyle w:val="ListParagraph"/>
        <w:numPr>
          <w:ilvl w:val="0"/>
          <w:numId w:val="4"/>
        </w:numPr>
      </w:pPr>
      <w:r>
        <w:t>Learning from complaints</w:t>
      </w:r>
    </w:p>
    <w:p w14:paraId="3F198070" w14:textId="03FF07E4" w:rsidR="00BF000D" w:rsidRDefault="00BF000D" w:rsidP="00BF000D">
      <w:pPr>
        <w:pStyle w:val="ListParagraph"/>
        <w:numPr>
          <w:ilvl w:val="0"/>
          <w:numId w:val="4"/>
        </w:numPr>
      </w:pPr>
      <w:r>
        <w:t>SEF</w:t>
      </w:r>
    </w:p>
    <w:p w14:paraId="69DE657B" w14:textId="6FB9A97F" w:rsidR="00BF000D" w:rsidRDefault="00BF000D" w:rsidP="00BF000D">
      <w:pPr>
        <w:pStyle w:val="ListParagraph"/>
        <w:numPr>
          <w:ilvl w:val="0"/>
          <w:numId w:val="4"/>
        </w:numPr>
      </w:pPr>
      <w:r>
        <w:lastRenderedPageBreak/>
        <w:t>Continue to develop shared understanding of good practice</w:t>
      </w:r>
    </w:p>
    <w:p w14:paraId="40A8628D" w14:textId="69D4DCAE" w:rsidR="00BF000D" w:rsidRDefault="00BF000D" w:rsidP="00BF000D">
      <w:pPr>
        <w:pStyle w:val="ListParagraph"/>
        <w:numPr>
          <w:ilvl w:val="0"/>
          <w:numId w:val="4"/>
        </w:numPr>
      </w:pPr>
      <w:r>
        <w:t>Roles and responsibilities in QA</w:t>
      </w:r>
    </w:p>
    <w:p w14:paraId="26230197" w14:textId="0AE34963" w:rsidR="00BF000D" w:rsidRPr="00BF000D" w:rsidRDefault="00BF000D" w:rsidP="00BF000D">
      <w:pPr>
        <w:pStyle w:val="ListParagraph"/>
        <w:numPr>
          <w:ilvl w:val="0"/>
          <w:numId w:val="4"/>
        </w:numPr>
      </w:pPr>
      <w:r>
        <w:t>Shared understanding of expectations around basic compliance and developing a culture of compliance</w:t>
      </w:r>
    </w:p>
    <w:p w14:paraId="356E0B9D" w14:textId="59C06365" w:rsidR="00BF000D" w:rsidRDefault="00BF000D" w:rsidP="000A7FA3">
      <w:pPr>
        <w:pStyle w:val="ListParagraph"/>
      </w:pPr>
    </w:p>
    <w:p w14:paraId="44B1FFF8" w14:textId="05B0ED59" w:rsidR="00BF000D" w:rsidRDefault="00BF000D" w:rsidP="00BF000D">
      <w:pPr>
        <w:pStyle w:val="ListParagraph"/>
        <w:numPr>
          <w:ilvl w:val="0"/>
          <w:numId w:val="1"/>
        </w:numPr>
        <w:rPr>
          <w:b/>
          <w:bCs/>
        </w:rPr>
      </w:pPr>
      <w:r>
        <w:rPr>
          <w:b/>
          <w:bCs/>
        </w:rPr>
        <w:t>Sharing practice</w:t>
      </w:r>
      <w:r w:rsidR="00F35059">
        <w:rPr>
          <w:b/>
          <w:bCs/>
        </w:rPr>
        <w:t xml:space="preserve"> – audit tools</w:t>
      </w:r>
    </w:p>
    <w:p w14:paraId="6F8E2AAC" w14:textId="5C9FCB33" w:rsidR="00F35059" w:rsidRDefault="00F35059" w:rsidP="00F35059">
      <w:pPr>
        <w:pStyle w:val="ListParagraph"/>
      </w:pPr>
      <w:r>
        <w:t>Small Group discussion and sharing of audit tools in the following combined Triad Groups:</w:t>
      </w:r>
    </w:p>
    <w:p w14:paraId="31977919" w14:textId="447E8CA6" w:rsidR="00F35059" w:rsidRDefault="00F35059" w:rsidP="00F35059">
      <w:pPr>
        <w:pStyle w:val="ListParagraph"/>
      </w:pPr>
      <w:r>
        <w:t>Group 1 – Wokingham, Surrey, West Berkshire, Bucks, Brighton &amp; Hove</w:t>
      </w:r>
    </w:p>
    <w:p w14:paraId="45E6976B" w14:textId="7ABA905C" w:rsidR="00F35059" w:rsidRDefault="00F35059" w:rsidP="00F35059">
      <w:pPr>
        <w:pStyle w:val="ListParagraph"/>
      </w:pPr>
      <w:r>
        <w:t>Group 2 – West Sussex, Kent, Portsmouth, Slough, Hampshire, Milton Keynes</w:t>
      </w:r>
    </w:p>
    <w:p w14:paraId="0C93FFD9" w14:textId="79434109" w:rsidR="00F35059" w:rsidRDefault="00F35059" w:rsidP="00F35059">
      <w:pPr>
        <w:pStyle w:val="ListParagraph"/>
      </w:pPr>
      <w:r>
        <w:t>Group 3 – Windsor &amp; Maidenhead, Bracknell Forest, Southampton</w:t>
      </w:r>
    </w:p>
    <w:p w14:paraId="2422EA7C" w14:textId="6A8A6665" w:rsidR="00F35059" w:rsidRDefault="00F35059" w:rsidP="00F35059">
      <w:pPr>
        <w:pStyle w:val="ListParagraph"/>
      </w:pPr>
    </w:p>
    <w:p w14:paraId="5A87183E" w14:textId="008F8DBA" w:rsidR="00F35059" w:rsidRDefault="00F35059" w:rsidP="00F35059">
      <w:pPr>
        <w:pStyle w:val="ListParagraph"/>
        <w:numPr>
          <w:ilvl w:val="0"/>
          <w:numId w:val="1"/>
        </w:numPr>
        <w:rPr>
          <w:b/>
          <w:bCs/>
        </w:rPr>
      </w:pPr>
      <w:r>
        <w:rPr>
          <w:b/>
          <w:bCs/>
        </w:rPr>
        <w:t>Next meeting:</w:t>
      </w:r>
    </w:p>
    <w:p w14:paraId="1E3CBA84" w14:textId="72DAF4FE" w:rsidR="00F35059" w:rsidRDefault="00F35059" w:rsidP="00F35059">
      <w:pPr>
        <w:pStyle w:val="ListParagraph"/>
        <w:numPr>
          <w:ilvl w:val="0"/>
          <w:numId w:val="5"/>
        </w:numPr>
        <w:rPr>
          <w:b/>
          <w:bCs/>
        </w:rPr>
      </w:pPr>
      <w:r>
        <w:rPr>
          <w:b/>
          <w:bCs/>
        </w:rPr>
        <w:t>2</w:t>
      </w:r>
      <w:r w:rsidRPr="00F35059">
        <w:rPr>
          <w:b/>
          <w:bCs/>
          <w:vertAlign w:val="superscript"/>
        </w:rPr>
        <w:t>nd</w:t>
      </w:r>
      <w:r>
        <w:rPr>
          <w:b/>
          <w:bCs/>
        </w:rPr>
        <w:t xml:space="preserve"> June </w:t>
      </w:r>
      <w:r>
        <w:t xml:space="preserve">10.30am - 4pm at LGA offices </w:t>
      </w:r>
      <w:r w:rsidR="003569FA">
        <w:rPr>
          <w:b/>
          <w:bCs/>
        </w:rPr>
        <w:t>–</w:t>
      </w:r>
      <w:r w:rsidRPr="00F7732B">
        <w:rPr>
          <w:b/>
          <w:bCs/>
        </w:rPr>
        <w:t xml:space="preserve"> </w:t>
      </w:r>
      <w:r w:rsidR="003569FA" w:rsidRPr="003569FA">
        <w:t>Beecham Room</w:t>
      </w:r>
    </w:p>
    <w:p w14:paraId="01893536" w14:textId="6FD94E28" w:rsidR="00F7732B" w:rsidRPr="00F7732B" w:rsidRDefault="00F7732B" w:rsidP="00F35059">
      <w:pPr>
        <w:pStyle w:val="ListParagraph"/>
        <w:numPr>
          <w:ilvl w:val="0"/>
          <w:numId w:val="5"/>
        </w:numPr>
        <w:rPr>
          <w:b/>
          <w:bCs/>
        </w:rPr>
      </w:pPr>
      <w:r>
        <w:t>Agenda to include:</w:t>
      </w:r>
    </w:p>
    <w:p w14:paraId="7E984EA9" w14:textId="0B5908C8" w:rsidR="00F7732B" w:rsidRPr="00F7732B" w:rsidRDefault="00F7732B" w:rsidP="00F7732B">
      <w:pPr>
        <w:pStyle w:val="ListParagraph"/>
        <w:numPr>
          <w:ilvl w:val="1"/>
          <w:numId w:val="5"/>
        </w:numPr>
        <w:rPr>
          <w:b/>
          <w:bCs/>
        </w:rPr>
      </w:pPr>
      <w:r>
        <w:t xml:space="preserve">Developing and understanding of good practice – both single agency and multi-agency (input from </w:t>
      </w:r>
      <w:proofErr w:type="spellStart"/>
      <w:proofErr w:type="gramStart"/>
      <w:r>
        <w:t>Surrey..</w:t>
      </w:r>
      <w:proofErr w:type="gramEnd"/>
      <w:r>
        <w:t>and</w:t>
      </w:r>
      <w:proofErr w:type="spellEnd"/>
      <w:r>
        <w:t xml:space="preserve"> other volunteers!)</w:t>
      </w:r>
    </w:p>
    <w:p w14:paraId="61390BC2" w14:textId="54F5B6CC" w:rsidR="00F7732B" w:rsidRPr="003569FA" w:rsidRDefault="00F7732B" w:rsidP="00F7732B">
      <w:pPr>
        <w:pStyle w:val="ListParagraph"/>
        <w:numPr>
          <w:ilvl w:val="1"/>
          <w:numId w:val="5"/>
        </w:numPr>
        <w:rPr>
          <w:b/>
          <w:bCs/>
        </w:rPr>
      </w:pPr>
      <w:r>
        <w:t>Exploration of practice standards and developing culture of compliance</w:t>
      </w:r>
    </w:p>
    <w:p w14:paraId="71729A21" w14:textId="77777777" w:rsidR="003569FA" w:rsidRPr="00032AAC" w:rsidRDefault="003569FA" w:rsidP="003569FA">
      <w:pPr>
        <w:pStyle w:val="ListParagraph"/>
        <w:ind w:left="2160"/>
        <w:rPr>
          <w:b/>
          <w:bCs/>
        </w:rPr>
      </w:pPr>
    </w:p>
    <w:p w14:paraId="6C1CBEE3" w14:textId="3A64E48C" w:rsidR="00032AAC" w:rsidRDefault="003569FA" w:rsidP="003569FA">
      <w:pPr>
        <w:pStyle w:val="ListParagraph"/>
        <w:numPr>
          <w:ilvl w:val="0"/>
          <w:numId w:val="1"/>
        </w:numPr>
        <w:rPr>
          <w:b/>
          <w:bCs/>
        </w:rPr>
      </w:pPr>
      <w:r>
        <w:rPr>
          <w:b/>
          <w:bCs/>
        </w:rPr>
        <w:t>Dates for the diary – meetings all to be held at LGA between 10.30am and 4pm</w:t>
      </w:r>
    </w:p>
    <w:p w14:paraId="4BA0A09B" w14:textId="7E923385" w:rsidR="003569FA" w:rsidRPr="003569FA" w:rsidRDefault="003569FA" w:rsidP="003569FA">
      <w:pPr>
        <w:pStyle w:val="ListParagraph"/>
        <w:numPr>
          <w:ilvl w:val="0"/>
          <w:numId w:val="6"/>
        </w:numPr>
      </w:pPr>
      <w:r w:rsidRPr="003569FA">
        <w:t>2</w:t>
      </w:r>
      <w:r w:rsidRPr="003569FA">
        <w:rPr>
          <w:vertAlign w:val="superscript"/>
        </w:rPr>
        <w:t>nd</w:t>
      </w:r>
      <w:r w:rsidRPr="003569FA">
        <w:t xml:space="preserve"> June 2020 – Beecham Room</w:t>
      </w:r>
    </w:p>
    <w:p w14:paraId="49CF8182" w14:textId="3E94C1E5" w:rsidR="003569FA" w:rsidRPr="003569FA" w:rsidRDefault="003569FA" w:rsidP="003569FA">
      <w:pPr>
        <w:pStyle w:val="ListParagraph"/>
        <w:numPr>
          <w:ilvl w:val="0"/>
          <w:numId w:val="6"/>
        </w:numPr>
      </w:pPr>
      <w:r w:rsidRPr="003569FA">
        <w:t>17</w:t>
      </w:r>
      <w:r w:rsidRPr="003569FA">
        <w:rPr>
          <w:vertAlign w:val="superscript"/>
        </w:rPr>
        <w:t>th</w:t>
      </w:r>
      <w:r w:rsidRPr="003569FA">
        <w:t xml:space="preserve"> September 2020 – Smith Square 1 &amp;2</w:t>
      </w:r>
    </w:p>
    <w:p w14:paraId="6BDF33A6" w14:textId="42D78FB4" w:rsidR="003569FA" w:rsidRPr="003569FA" w:rsidRDefault="003569FA" w:rsidP="003569FA">
      <w:pPr>
        <w:pStyle w:val="ListParagraph"/>
        <w:numPr>
          <w:ilvl w:val="0"/>
          <w:numId w:val="6"/>
        </w:numPr>
      </w:pPr>
      <w:r w:rsidRPr="003569FA">
        <w:t>9</w:t>
      </w:r>
      <w:r w:rsidRPr="003569FA">
        <w:rPr>
          <w:vertAlign w:val="superscript"/>
        </w:rPr>
        <w:t>th</w:t>
      </w:r>
      <w:r w:rsidRPr="003569FA">
        <w:t xml:space="preserve"> December 2020 – Victoria (only has a capacity of 20)</w:t>
      </w:r>
    </w:p>
    <w:p w14:paraId="62B0B824" w14:textId="7205550C" w:rsidR="003569FA" w:rsidRPr="003569FA" w:rsidRDefault="003569FA" w:rsidP="003569FA">
      <w:pPr>
        <w:pStyle w:val="ListParagraph"/>
        <w:numPr>
          <w:ilvl w:val="0"/>
          <w:numId w:val="6"/>
        </w:numPr>
      </w:pPr>
      <w:r w:rsidRPr="003569FA">
        <w:t>10</w:t>
      </w:r>
      <w:r w:rsidRPr="003569FA">
        <w:rPr>
          <w:vertAlign w:val="superscript"/>
        </w:rPr>
        <w:t>th</w:t>
      </w:r>
      <w:r w:rsidRPr="003569FA">
        <w:t xml:space="preserve"> March 2021 – Beecham Room</w:t>
      </w:r>
      <w:bookmarkStart w:id="0" w:name="_GoBack"/>
      <w:bookmarkEnd w:id="0"/>
    </w:p>
    <w:sectPr w:rsidR="003569FA" w:rsidRPr="003569F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16292" w14:textId="77777777" w:rsidR="00E02260" w:rsidRDefault="00E02260" w:rsidP="00801D0B">
      <w:pPr>
        <w:spacing w:after="0" w:line="240" w:lineRule="auto"/>
      </w:pPr>
      <w:r>
        <w:separator/>
      </w:r>
    </w:p>
  </w:endnote>
  <w:endnote w:type="continuationSeparator" w:id="0">
    <w:p w14:paraId="6C419539" w14:textId="77777777" w:rsidR="00E02260" w:rsidRDefault="00E02260" w:rsidP="00801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C80B" w14:textId="77777777" w:rsidR="00801D0B" w:rsidRDefault="00801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136909"/>
      <w:docPartObj>
        <w:docPartGallery w:val="Page Numbers (Bottom of Page)"/>
        <w:docPartUnique/>
      </w:docPartObj>
    </w:sdtPr>
    <w:sdtEndPr>
      <w:rPr>
        <w:noProof/>
      </w:rPr>
    </w:sdtEndPr>
    <w:sdtContent>
      <w:p w14:paraId="1147882F" w14:textId="397830DC" w:rsidR="00801D0B" w:rsidRDefault="00801D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DA2C6C" w14:textId="77777777" w:rsidR="00801D0B" w:rsidRDefault="00801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95BE6" w14:textId="77777777" w:rsidR="00801D0B" w:rsidRDefault="00801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783E7" w14:textId="77777777" w:rsidR="00E02260" w:rsidRDefault="00E02260" w:rsidP="00801D0B">
      <w:pPr>
        <w:spacing w:after="0" w:line="240" w:lineRule="auto"/>
      </w:pPr>
      <w:r>
        <w:separator/>
      </w:r>
    </w:p>
  </w:footnote>
  <w:footnote w:type="continuationSeparator" w:id="0">
    <w:p w14:paraId="7B403338" w14:textId="77777777" w:rsidR="00E02260" w:rsidRDefault="00E02260" w:rsidP="00801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1B66E" w14:textId="77777777" w:rsidR="00801D0B" w:rsidRDefault="00801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0EC2" w14:textId="77777777" w:rsidR="00801D0B" w:rsidRDefault="00801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683BC" w14:textId="77777777" w:rsidR="00801D0B" w:rsidRDefault="00801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B22CC"/>
    <w:multiLevelType w:val="hybridMultilevel"/>
    <w:tmpl w:val="5144FB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6CB7E10"/>
    <w:multiLevelType w:val="hybridMultilevel"/>
    <w:tmpl w:val="1840B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BCF62B0"/>
    <w:multiLevelType w:val="hybridMultilevel"/>
    <w:tmpl w:val="171A935A"/>
    <w:lvl w:ilvl="0" w:tplc="8A6A914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BC4947"/>
    <w:multiLevelType w:val="hybridMultilevel"/>
    <w:tmpl w:val="D96CA6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F762658"/>
    <w:multiLevelType w:val="hybridMultilevel"/>
    <w:tmpl w:val="93E65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A7B6C75"/>
    <w:multiLevelType w:val="hybridMultilevel"/>
    <w:tmpl w:val="0EB47D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6E"/>
    <w:rsid w:val="000266D0"/>
    <w:rsid w:val="00032AAC"/>
    <w:rsid w:val="000A7FA3"/>
    <w:rsid w:val="001A16CC"/>
    <w:rsid w:val="002B28DF"/>
    <w:rsid w:val="003569FA"/>
    <w:rsid w:val="0057496E"/>
    <w:rsid w:val="006659C9"/>
    <w:rsid w:val="00681AE9"/>
    <w:rsid w:val="00801D0B"/>
    <w:rsid w:val="00816F41"/>
    <w:rsid w:val="00A52E47"/>
    <w:rsid w:val="00AD5D22"/>
    <w:rsid w:val="00AD7A6E"/>
    <w:rsid w:val="00BF000D"/>
    <w:rsid w:val="00C86B9F"/>
    <w:rsid w:val="00E02260"/>
    <w:rsid w:val="00E44313"/>
    <w:rsid w:val="00F35059"/>
    <w:rsid w:val="00F77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EEBE"/>
  <w15:chartTrackingRefBased/>
  <w15:docId w15:val="{7B065B3A-819D-435C-ADF3-EC31DD2C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6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D22"/>
    <w:pPr>
      <w:ind w:left="720"/>
      <w:contextualSpacing/>
    </w:pPr>
  </w:style>
  <w:style w:type="table" w:styleId="TableGrid">
    <w:name w:val="Table Grid"/>
    <w:basedOn w:val="TableNormal"/>
    <w:uiPriority w:val="39"/>
    <w:rsid w:val="00AD5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1AE9"/>
    <w:rPr>
      <w:rFonts w:ascii="Times New Roman" w:hAnsi="Times New Roman" w:cs="Times New Roman"/>
      <w:sz w:val="24"/>
      <w:szCs w:val="24"/>
    </w:rPr>
  </w:style>
  <w:style w:type="paragraph" w:styleId="Header">
    <w:name w:val="header"/>
    <w:basedOn w:val="Normal"/>
    <w:link w:val="HeaderChar"/>
    <w:uiPriority w:val="99"/>
    <w:unhideWhenUsed/>
    <w:rsid w:val="00801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D0B"/>
  </w:style>
  <w:style w:type="paragraph" w:styleId="Footer">
    <w:name w:val="footer"/>
    <w:basedOn w:val="Normal"/>
    <w:link w:val="FooterChar"/>
    <w:uiPriority w:val="99"/>
    <w:unhideWhenUsed/>
    <w:rsid w:val="00801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677331">
      <w:bodyDiv w:val="1"/>
      <w:marLeft w:val="0"/>
      <w:marRight w:val="0"/>
      <w:marTop w:val="0"/>
      <w:marBottom w:val="0"/>
      <w:divBdr>
        <w:top w:val="none" w:sz="0" w:space="0" w:color="auto"/>
        <w:left w:val="none" w:sz="0" w:space="0" w:color="auto"/>
        <w:bottom w:val="none" w:sz="0" w:space="0" w:color="auto"/>
        <w:right w:val="none" w:sz="0" w:space="0" w:color="auto"/>
      </w:divBdr>
    </w:div>
    <w:div w:id="698968515">
      <w:bodyDiv w:val="1"/>
      <w:marLeft w:val="0"/>
      <w:marRight w:val="0"/>
      <w:marTop w:val="0"/>
      <w:marBottom w:val="0"/>
      <w:divBdr>
        <w:top w:val="none" w:sz="0" w:space="0" w:color="auto"/>
        <w:left w:val="none" w:sz="0" w:space="0" w:color="auto"/>
        <w:bottom w:val="none" w:sz="0" w:space="0" w:color="auto"/>
        <w:right w:val="none" w:sz="0" w:space="0" w:color="auto"/>
      </w:divBdr>
    </w:div>
    <w:div w:id="904030894">
      <w:bodyDiv w:val="1"/>
      <w:marLeft w:val="0"/>
      <w:marRight w:val="0"/>
      <w:marTop w:val="0"/>
      <w:marBottom w:val="0"/>
      <w:divBdr>
        <w:top w:val="none" w:sz="0" w:space="0" w:color="auto"/>
        <w:left w:val="none" w:sz="0" w:space="0" w:color="auto"/>
        <w:bottom w:val="none" w:sz="0" w:space="0" w:color="auto"/>
        <w:right w:val="none" w:sz="0" w:space="0" w:color="auto"/>
      </w:divBdr>
    </w:div>
    <w:div w:id="958685689">
      <w:bodyDiv w:val="1"/>
      <w:marLeft w:val="0"/>
      <w:marRight w:val="0"/>
      <w:marTop w:val="0"/>
      <w:marBottom w:val="0"/>
      <w:divBdr>
        <w:top w:val="none" w:sz="0" w:space="0" w:color="auto"/>
        <w:left w:val="none" w:sz="0" w:space="0" w:color="auto"/>
        <w:bottom w:val="none" w:sz="0" w:space="0" w:color="auto"/>
        <w:right w:val="none" w:sz="0" w:space="0" w:color="auto"/>
      </w:divBdr>
    </w:div>
    <w:div w:id="1407994015">
      <w:bodyDiv w:val="1"/>
      <w:marLeft w:val="0"/>
      <w:marRight w:val="0"/>
      <w:marTop w:val="0"/>
      <w:marBottom w:val="0"/>
      <w:divBdr>
        <w:top w:val="none" w:sz="0" w:space="0" w:color="auto"/>
        <w:left w:val="none" w:sz="0" w:space="0" w:color="auto"/>
        <w:bottom w:val="none" w:sz="0" w:space="0" w:color="auto"/>
        <w:right w:val="none" w:sz="0" w:space="0" w:color="auto"/>
      </w:divBdr>
    </w:div>
    <w:div w:id="1532458032">
      <w:bodyDiv w:val="1"/>
      <w:marLeft w:val="0"/>
      <w:marRight w:val="0"/>
      <w:marTop w:val="0"/>
      <w:marBottom w:val="0"/>
      <w:divBdr>
        <w:top w:val="none" w:sz="0" w:space="0" w:color="auto"/>
        <w:left w:val="none" w:sz="0" w:space="0" w:color="auto"/>
        <w:bottom w:val="none" w:sz="0" w:space="0" w:color="auto"/>
        <w:right w:val="none" w:sz="0" w:space="0" w:color="auto"/>
      </w:divBdr>
    </w:div>
    <w:div w:id="1577469602">
      <w:bodyDiv w:val="1"/>
      <w:marLeft w:val="0"/>
      <w:marRight w:val="0"/>
      <w:marTop w:val="0"/>
      <w:marBottom w:val="0"/>
      <w:divBdr>
        <w:top w:val="none" w:sz="0" w:space="0" w:color="auto"/>
        <w:left w:val="none" w:sz="0" w:space="0" w:color="auto"/>
        <w:bottom w:val="none" w:sz="0" w:space="0" w:color="auto"/>
        <w:right w:val="none" w:sz="0" w:space="0" w:color="auto"/>
      </w:divBdr>
    </w:div>
    <w:div w:id="197205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eslip.co.uk/download-file/65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Williamson</dc:creator>
  <cp:keywords/>
  <dc:description/>
  <cp:lastModifiedBy>Diane Williamson</cp:lastModifiedBy>
  <cp:revision>12</cp:revision>
  <dcterms:created xsi:type="dcterms:W3CDTF">2020-02-13T12:38:00Z</dcterms:created>
  <dcterms:modified xsi:type="dcterms:W3CDTF">2020-02-17T15:49:00Z</dcterms:modified>
</cp:coreProperties>
</file>