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0C30" w14:textId="48693F9A" w:rsidR="001D60F3" w:rsidRPr="001D60F3" w:rsidRDefault="00AA4B18" w:rsidP="001D60F3">
      <w:pPr>
        <w:pStyle w:val="Heading1"/>
        <w:rPr>
          <w:rFonts w:ascii="Raleway" w:hAnsi="Raleway"/>
          <w:color w:val="7030A0"/>
        </w:rPr>
      </w:pPr>
      <w:proofErr w:type="gramStart"/>
      <w:r>
        <w:rPr>
          <w:rFonts w:ascii="Raleway" w:hAnsi="Raleway"/>
          <w:color w:val="7030A0"/>
        </w:rPr>
        <w:t>South East</w:t>
      </w:r>
      <w:proofErr w:type="gramEnd"/>
      <w:r>
        <w:rPr>
          <w:rFonts w:ascii="Raleway" w:hAnsi="Raleway"/>
          <w:color w:val="7030A0"/>
        </w:rPr>
        <w:t xml:space="preserve"> Transformation Network</w:t>
      </w:r>
      <w:r>
        <w:rPr>
          <w:rFonts w:ascii="Raleway" w:hAnsi="Raleway"/>
          <w:color w:val="7030A0"/>
        </w:rPr>
        <w:br/>
      </w:r>
      <w:r w:rsidR="001D60F3" w:rsidRPr="001D60F3">
        <w:rPr>
          <w:rFonts w:ascii="Raleway" w:hAnsi="Raleway"/>
          <w:color w:val="7030A0"/>
        </w:rPr>
        <w:t xml:space="preserve">meeting notes and action log </w:t>
      </w:r>
      <w:r w:rsidR="00A21D34">
        <w:rPr>
          <w:rFonts w:ascii="Raleway" w:hAnsi="Raleway"/>
          <w:color w:val="7030A0"/>
        </w:rPr>
        <w:t>Dece</w:t>
      </w:r>
      <w:r w:rsidR="000202BB">
        <w:rPr>
          <w:rFonts w:ascii="Raleway" w:hAnsi="Raleway"/>
          <w:color w:val="7030A0"/>
        </w:rPr>
        <w:t>mber</w:t>
      </w:r>
      <w:r w:rsidR="00DB0BBA">
        <w:rPr>
          <w:rFonts w:ascii="Raleway" w:hAnsi="Raleway"/>
          <w:color w:val="7030A0"/>
        </w:rPr>
        <w:t xml:space="preserve"> 2025</w:t>
      </w:r>
    </w:p>
    <w:p w14:paraId="425A6B35" w14:textId="5D57EA72" w:rsidR="003D79F4" w:rsidRDefault="003D79F4"/>
    <w:p w14:paraId="188FB07F" w14:textId="7536A3E0" w:rsidR="00DB0BBA" w:rsidRPr="00093DD1" w:rsidRDefault="00DB0BBA">
      <w:r>
        <w:rPr>
          <w:b/>
          <w:bCs/>
        </w:rPr>
        <w:t>Date:</w:t>
      </w:r>
      <w:r w:rsidR="00093DD1">
        <w:rPr>
          <w:b/>
          <w:bCs/>
        </w:rPr>
        <w:t xml:space="preserve"> </w:t>
      </w:r>
      <w:r w:rsidR="00093DD1">
        <w:t xml:space="preserve"> </w:t>
      </w:r>
      <w:r w:rsidR="00A21D34">
        <w:t>19 December 2025</w:t>
      </w:r>
      <w:r w:rsidR="0036508B">
        <w:t xml:space="preserve"> 3-4.30pm</w:t>
      </w:r>
    </w:p>
    <w:p w14:paraId="4594DEA9" w14:textId="1C76CF87" w:rsidR="001D60F3" w:rsidRDefault="001D60F3">
      <w:r>
        <w:rPr>
          <w:b/>
          <w:bCs/>
        </w:rPr>
        <w:t xml:space="preserve">Chair: </w:t>
      </w:r>
      <w:r w:rsidR="0036508B">
        <w:t>Steph How (Vice Chair, Hants),</w:t>
      </w:r>
    </w:p>
    <w:p w14:paraId="3A737F24" w14:textId="018E3F56" w:rsidR="00E9203C" w:rsidRDefault="001D60F3">
      <w:r>
        <w:rPr>
          <w:b/>
          <w:bCs/>
        </w:rPr>
        <w:t xml:space="preserve">Attendees: </w:t>
      </w:r>
      <w:r w:rsidR="0036508B">
        <w:t>Anita Stanbury (West Berks</w:t>
      </w:r>
      <w:r w:rsidR="0036508B">
        <w:t xml:space="preserve">), </w:t>
      </w:r>
      <w:r w:rsidR="0036508B">
        <w:t>Janet Jones (Surrey), Ingrid Crisnan (Kent</w:t>
      </w:r>
      <w:r w:rsidR="0036508B">
        <w:t xml:space="preserve">), </w:t>
      </w:r>
      <w:r w:rsidR="0036508B">
        <w:rPr>
          <w:rFonts w:cstheme="majorHAnsi"/>
        </w:rPr>
        <w:t xml:space="preserve">Anna Clarke (IoW), James Carter (Oxfordshire), Collette Visagie (West Sussex), Marie Foley (West Sussex), </w:t>
      </w:r>
      <w:r w:rsidR="0036508B">
        <w:t xml:space="preserve">Deborah Ennes (East Sussex), </w:t>
      </w:r>
      <w:r w:rsidR="0036508B">
        <w:rPr>
          <w:rFonts w:cstheme="majorHAnsi"/>
        </w:rPr>
        <w:t>Tom Stibbs (Brighton and Hove),</w:t>
      </w:r>
      <w:r w:rsidR="002F71C3" w:rsidRPr="002F71C3">
        <w:t xml:space="preserve"> </w:t>
      </w:r>
      <w:r w:rsidR="002F71C3">
        <w:t>Dan Buckle (Southampton),</w:t>
      </w:r>
      <w:r w:rsidR="002F71C3">
        <w:t xml:space="preserve"> </w:t>
      </w:r>
      <w:r w:rsidR="002F71C3">
        <w:rPr>
          <w:rFonts w:cstheme="majorHAnsi"/>
        </w:rPr>
        <w:t>Estelle Kelleway (Wokingham)</w:t>
      </w:r>
      <w:r w:rsidR="002F71C3">
        <w:rPr>
          <w:rFonts w:cstheme="majorHAnsi"/>
        </w:rPr>
        <w:t xml:space="preserve">, </w:t>
      </w:r>
      <w:r w:rsidR="002F71C3">
        <w:t>Andrea King (Reading),</w:t>
      </w:r>
      <w:r w:rsidR="002F71C3" w:rsidRPr="002F71C3">
        <w:t xml:space="preserve"> </w:t>
      </w:r>
      <w:r w:rsidR="002F71C3">
        <w:t xml:space="preserve">Hannah </w:t>
      </w:r>
      <w:proofErr w:type="spellStart"/>
      <w:r w:rsidR="002F71C3">
        <w:t>Leat</w:t>
      </w:r>
      <w:proofErr w:type="spellEnd"/>
      <w:r w:rsidR="002F71C3">
        <w:t xml:space="preserve"> (Hampshire</w:t>
      </w:r>
      <w:r w:rsidR="002F71C3">
        <w:t>),</w:t>
      </w:r>
      <w:r w:rsidR="0036508B">
        <w:rPr>
          <w:rFonts w:cstheme="majorHAnsi"/>
        </w:rPr>
        <w:t xml:space="preserve"> </w:t>
      </w:r>
      <w:r w:rsidR="002F71C3">
        <w:rPr>
          <w:rFonts w:cstheme="majorHAnsi"/>
        </w:rPr>
        <w:t xml:space="preserve">Natalie Bugeja (Achieving for Children), </w:t>
      </w:r>
      <w:r w:rsidR="002F71C3">
        <w:t>Sam Taylor (Hampshire)</w:t>
      </w:r>
      <w:r w:rsidR="002F71C3">
        <w:t xml:space="preserve">, </w:t>
      </w:r>
      <w:r w:rsidR="002F71C3">
        <w:rPr>
          <w:rFonts w:cstheme="majorHAnsi"/>
        </w:rPr>
        <w:t>Luke Varndell (Portsmouth)</w:t>
      </w:r>
      <w:r w:rsidR="002F71C3">
        <w:rPr>
          <w:rFonts w:cstheme="majorHAnsi"/>
        </w:rPr>
        <w:t xml:space="preserve">, </w:t>
      </w:r>
      <w:r w:rsidR="002F71C3">
        <w:rPr>
          <w:rFonts w:cstheme="majorHAnsi"/>
        </w:rPr>
        <w:t xml:space="preserve">Victoria Gibbs (Slough), Michelle Sanders (Portsmouth),  </w:t>
      </w:r>
      <w:r w:rsidR="002F71C3">
        <w:t xml:space="preserve">Teresa Devito (Medway), </w:t>
      </w:r>
      <w:r w:rsidR="002F71C3">
        <w:t xml:space="preserve">Keith Langley (West Berks), Priscilla Kurewa (Bracknell Forest), Nicola McGeown (East Sussex), Ananda Bodenstein (West Berks), Laura Travett, </w:t>
      </w:r>
      <w:r w:rsidR="0036508B">
        <w:t>Selina Rattu (SESLIP support), Rebecca Eligon (SESLIP support)</w:t>
      </w:r>
    </w:p>
    <w:p w14:paraId="28C52CDF" w14:textId="07123F42" w:rsidR="006115BD" w:rsidRPr="00E31466" w:rsidRDefault="00E9203C" w:rsidP="00AA4B18">
      <w:pPr>
        <w:rPr>
          <w:rFonts w:cstheme="majorHAnsi"/>
        </w:rPr>
      </w:pPr>
      <w:r w:rsidRPr="00E9203C">
        <w:rPr>
          <w:b/>
          <w:bCs/>
        </w:rPr>
        <w:t>apologies:</w:t>
      </w:r>
      <w:r>
        <w:t xml:space="preserve"> </w:t>
      </w:r>
      <w:r w:rsidR="0036508B">
        <w:t>Stuart Ashley</w:t>
      </w:r>
      <w:r w:rsidR="0036508B">
        <w:t xml:space="preserve"> </w:t>
      </w:r>
      <w:r w:rsidR="0036508B">
        <w:t>(Hants)</w:t>
      </w:r>
      <w:r>
        <w:rPr>
          <w:rFonts w:cstheme="majorHAnsi"/>
        </w:rPr>
        <w:t>, Hayley Rees (Wokingham)</w:t>
      </w:r>
      <w:r w:rsidR="00F668EA">
        <w:t xml:space="preserve">, Jonny Bradish (Brighter Futures, Reading), Bosede Lawal (Surrey), Wendy Evans (Milton Keynes), </w:t>
      </w:r>
      <w:r w:rsidR="00F668EA">
        <w:rPr>
          <w:rFonts w:cstheme="majorHAnsi"/>
        </w:rPr>
        <w:t xml:space="preserve">Sarah Moran (Achieving for Children), </w:t>
      </w:r>
      <w:r w:rsidR="0036508B">
        <w:t xml:space="preserve">Alison Munt (Bucks), Audrey Johnson (Bracknell Forest), Dora Gouveia Schofield (West Berks), Jenny Thomas  (Milton Keynes), </w:t>
      </w:r>
      <w:r w:rsidR="0036508B">
        <w:rPr>
          <w:rFonts w:cstheme="majorHAnsi"/>
        </w:rPr>
        <w:t xml:space="preserve">Edwina Gregory-Johnson (Achieving for Children), </w:t>
      </w:r>
      <w:r w:rsidR="0036508B">
        <w:t>Errol Albert (Bucks)</w:t>
      </w:r>
      <w:r w:rsidR="0036508B">
        <w:rPr>
          <w:rFonts w:cstheme="majorHAnsi"/>
        </w:rPr>
        <w:t xml:space="preserve">, </w:t>
      </w:r>
      <w:r w:rsidR="0036508B">
        <w:t xml:space="preserve"> </w:t>
      </w:r>
      <w:r w:rsidR="0036508B">
        <w:rPr>
          <w:rFonts w:cstheme="majorHAnsi"/>
        </w:rPr>
        <w:t>Kirsty Morris-Selley (Milton Keynes),</w:t>
      </w:r>
      <w:r w:rsidR="0036508B">
        <w:t xml:space="preserve">), Kay Jones (Isle of Wight), Richenda Polson (Kent), </w:t>
      </w:r>
    </w:p>
    <w:p w14:paraId="6670F5C5" w14:textId="7933B9E6" w:rsidR="00386857" w:rsidRDefault="00AA4B18" w:rsidP="00AA4B18">
      <w:pPr>
        <w:rPr>
          <w:b/>
          <w:bCs/>
        </w:rPr>
      </w:pPr>
      <w:r>
        <w:rPr>
          <w:b/>
          <w:bCs/>
        </w:rPr>
        <w:t>Item 1</w:t>
      </w:r>
      <w:r w:rsidR="00DB0BBA">
        <w:rPr>
          <w:b/>
          <w:bCs/>
        </w:rPr>
        <w:t>:</w:t>
      </w:r>
      <w:r w:rsidR="001C0FB9">
        <w:t xml:space="preserve"> </w:t>
      </w:r>
      <w:r w:rsidR="000202BB">
        <w:rPr>
          <w:b/>
          <w:bCs/>
        </w:rPr>
        <w:t>Remaining opening positions</w:t>
      </w:r>
    </w:p>
    <w:p w14:paraId="4FD4EB44" w14:textId="5973D6F1" w:rsidR="002F71C3" w:rsidRDefault="0036508B" w:rsidP="002F71C3">
      <w:r>
        <w:rPr>
          <w:b/>
          <w:bCs/>
        </w:rPr>
        <w:t xml:space="preserve">West </w:t>
      </w:r>
      <w:r w:rsidR="002F71C3">
        <w:rPr>
          <w:b/>
          <w:bCs/>
        </w:rPr>
        <w:t>S</w:t>
      </w:r>
      <w:r>
        <w:rPr>
          <w:b/>
          <w:bCs/>
        </w:rPr>
        <w:t>ussex</w:t>
      </w:r>
      <w:r w:rsidR="000202BB">
        <w:rPr>
          <w:b/>
          <w:bCs/>
        </w:rPr>
        <w:t xml:space="preserve">: </w:t>
      </w:r>
      <w:r w:rsidR="000202BB">
        <w:t xml:space="preserve"> </w:t>
      </w:r>
      <w:r w:rsidR="002F71C3" w:rsidRPr="00034304">
        <w:rPr>
          <w:b/>
          <w:bCs/>
        </w:rPr>
        <w:t xml:space="preserve">Collette </w:t>
      </w:r>
      <w:r w:rsidR="00A41048">
        <w:rPr>
          <w:b/>
          <w:bCs/>
        </w:rPr>
        <w:t xml:space="preserve">Visagie </w:t>
      </w:r>
      <w:r w:rsidR="002F71C3" w:rsidRPr="00034304">
        <w:rPr>
          <w:b/>
          <w:bCs/>
        </w:rPr>
        <w:t xml:space="preserve">and </w:t>
      </w:r>
      <w:r w:rsidR="002F71C3">
        <w:rPr>
          <w:b/>
          <w:bCs/>
        </w:rPr>
        <w:t>Marie</w:t>
      </w:r>
      <w:r w:rsidR="002F71C3" w:rsidRPr="00034304">
        <w:rPr>
          <w:b/>
          <w:bCs/>
        </w:rPr>
        <w:t xml:space="preserve"> Foley</w:t>
      </w:r>
      <w:r w:rsidR="002F71C3">
        <w:rPr>
          <w:b/>
          <w:bCs/>
        </w:rPr>
        <w:t xml:space="preserve">: </w:t>
      </w:r>
      <w:r w:rsidR="002F71C3">
        <w:t>Have strong EH service under one A</w:t>
      </w:r>
      <w:r w:rsidR="00A41048">
        <w:t>D. The reflected that there is a model of</w:t>
      </w:r>
      <w:r w:rsidR="002F71C3">
        <w:t xml:space="preserve"> family network meetings as part of family safeguarding model.  But</w:t>
      </w:r>
      <w:r w:rsidR="00A41048">
        <w:t xml:space="preserve"> they</w:t>
      </w:r>
      <w:r w:rsidR="002F71C3">
        <w:t xml:space="preserve"> recognise there is more work to be done to improve consistency. </w:t>
      </w:r>
      <w:r w:rsidR="00A41048">
        <w:t>They</w:t>
      </w:r>
      <w:r w:rsidR="002F71C3">
        <w:t xml:space="preserve"> don’t have </w:t>
      </w:r>
      <w:r w:rsidR="00A41048">
        <w:t xml:space="preserve">an </w:t>
      </w:r>
      <w:r w:rsidR="002F71C3">
        <w:t>FGC</w:t>
      </w:r>
      <w:r w:rsidR="00A41048">
        <w:t xml:space="preserve"> model or team</w:t>
      </w:r>
      <w:r w:rsidR="002F71C3">
        <w:t xml:space="preserve">. </w:t>
      </w:r>
      <w:r w:rsidR="00A41048">
        <w:t xml:space="preserve">There </w:t>
      </w:r>
      <w:proofErr w:type="gramStart"/>
      <w:r w:rsidR="00A41048">
        <w:t>is</w:t>
      </w:r>
      <w:proofErr w:type="gramEnd"/>
      <w:r w:rsidR="00A41048">
        <w:t xml:space="preserve"> a s</w:t>
      </w:r>
      <w:r w:rsidR="002F71C3">
        <w:t xml:space="preserve">trong MASH and </w:t>
      </w:r>
      <w:r w:rsidR="00A41048">
        <w:t>S</w:t>
      </w:r>
      <w:r w:rsidR="002F71C3">
        <w:t>ussex</w:t>
      </w:r>
      <w:r w:rsidR="00A41048">
        <w:t>-</w:t>
      </w:r>
      <w:r w:rsidR="002F71C3">
        <w:t xml:space="preserve">wide engagement </w:t>
      </w:r>
      <w:r w:rsidR="00A41048">
        <w:t>along with Brighton and Hove with police</w:t>
      </w:r>
      <w:r w:rsidR="002F71C3">
        <w:t xml:space="preserve">, </w:t>
      </w:r>
      <w:r w:rsidR="00A41048">
        <w:t>the</w:t>
      </w:r>
      <w:r w:rsidR="002F71C3">
        <w:t xml:space="preserve"> safeguarding board </w:t>
      </w:r>
      <w:r w:rsidR="00A41048">
        <w:t xml:space="preserve">is </w:t>
      </w:r>
      <w:r w:rsidR="002F71C3">
        <w:t xml:space="preserve">chaired by police. In West Sussex have listened to others and decided to focus on what works for </w:t>
      </w:r>
      <w:r w:rsidR="00A41048">
        <w:t xml:space="preserve">their </w:t>
      </w:r>
      <w:r w:rsidR="002F71C3">
        <w:t xml:space="preserve">families. </w:t>
      </w:r>
      <w:proofErr w:type="gramStart"/>
      <w:r w:rsidR="002F71C3">
        <w:t>So</w:t>
      </w:r>
      <w:proofErr w:type="gramEnd"/>
      <w:r w:rsidR="002F71C3">
        <w:t xml:space="preserve"> taking an evolutionary and not revolutionary approach.  Used grant money around FGC and kinship. Family help, done a lot over the summer and </w:t>
      </w:r>
      <w:r w:rsidR="00A41048">
        <w:t>moving from a</w:t>
      </w:r>
      <w:r w:rsidR="002F71C3">
        <w:t xml:space="preserve"> children first agenda to a family first agenda.  Have strong </w:t>
      </w:r>
      <w:r w:rsidR="00A41048">
        <w:t>multi-agency</w:t>
      </w:r>
      <w:r w:rsidR="002F71C3">
        <w:t xml:space="preserve"> partnerships with East Sussex and Brighton and Hove. </w:t>
      </w:r>
      <w:r w:rsidR="002F71C3" w:rsidRPr="00A41048">
        <w:rPr>
          <w:b/>
          <w:bCs/>
        </w:rPr>
        <w:t>Question from SH:</w:t>
      </w:r>
      <w:r w:rsidR="002F71C3">
        <w:t xml:space="preserve"> Why is family meeting not sufficient why are you looking to build a new model? CV said we don’t have the independence of an FGC model, so we are looking to create a continuum.</w:t>
      </w:r>
    </w:p>
    <w:p w14:paraId="365261C0" w14:textId="283A8797" w:rsidR="002F71C3" w:rsidRDefault="002F71C3" w:rsidP="002F71C3">
      <w:r>
        <w:rPr>
          <w:b/>
          <w:bCs/>
        </w:rPr>
        <w:t xml:space="preserve"> Estelle Kellway -</w:t>
      </w:r>
      <w:r w:rsidR="00A41048">
        <w:rPr>
          <w:b/>
          <w:bCs/>
        </w:rPr>
        <w:t>W</w:t>
      </w:r>
      <w:r>
        <w:rPr>
          <w:b/>
          <w:bCs/>
        </w:rPr>
        <w:t xml:space="preserve">okingham </w:t>
      </w:r>
      <w:proofErr w:type="gramStart"/>
      <w:r>
        <w:rPr>
          <w:b/>
          <w:bCs/>
        </w:rPr>
        <w:t xml:space="preserve">- </w:t>
      </w:r>
      <w:r>
        <w:t xml:space="preserve"> had</w:t>
      </w:r>
      <w:proofErr w:type="gramEnd"/>
      <w:r>
        <w:t xml:space="preserve"> an underinvested separate EH service with a waiting</w:t>
      </w:r>
      <w:r w:rsidR="00A41048">
        <w:t xml:space="preserve"> </w:t>
      </w:r>
      <w:r>
        <w:t>list, didn’t have FGC service (that disappeared 10 years</w:t>
      </w:r>
      <w:r w:rsidR="00A41048">
        <w:t xml:space="preserve"> ago</w:t>
      </w:r>
      <w:r>
        <w:t>), have tri</w:t>
      </w:r>
      <w:r w:rsidR="00A41048">
        <w:t>-</w:t>
      </w:r>
      <w:r>
        <w:t xml:space="preserve">borough safeguarding model.  Going for quite a significant change in delivery model bringing EH and safeguarding together moving to a pod model. </w:t>
      </w:r>
      <w:r w:rsidR="00A41048">
        <w:t xml:space="preserve">Pods will be responsible for cases from </w:t>
      </w:r>
      <w:r>
        <w:t xml:space="preserve">targeted </w:t>
      </w:r>
      <w:r w:rsidR="00A41048">
        <w:t>help</w:t>
      </w:r>
      <w:r>
        <w:t xml:space="preserve"> through </w:t>
      </w:r>
      <w:r w:rsidR="00A41048">
        <w:t xml:space="preserve">to </w:t>
      </w:r>
      <w:r>
        <w:t>CLA.  Consultation in Jan/Feb and rollout in April. Recruiting FGC manager and coordinator and someone that can train staff on FLDM.  Moving aw</w:t>
      </w:r>
      <w:r w:rsidR="00A41048">
        <w:t>a</w:t>
      </w:r>
      <w:r>
        <w:t>y from SoS, had family network meetings and struggled to get a consistent approach.  Going</w:t>
      </w:r>
      <w:r w:rsidR="00A41048">
        <w:t xml:space="preserve"> </w:t>
      </w:r>
      <w:r>
        <w:t>to have a blended model with staff trained in meetings and FLDM as well as a</w:t>
      </w:r>
      <w:r w:rsidR="00A41048">
        <w:t xml:space="preserve"> separate formal</w:t>
      </w:r>
      <w:r>
        <w:t xml:space="preserve"> FGC service.  Work going on in family hub space to develop a more integrated front door, looking to launch FHs in April.</w:t>
      </w:r>
      <w:r w:rsidR="00A41048">
        <w:t xml:space="preserve"> </w:t>
      </w:r>
      <w:r>
        <w:t xml:space="preserve">A lot of culture </w:t>
      </w:r>
      <w:r>
        <w:lastRenderedPageBreak/>
        <w:t xml:space="preserve">change but also strong political and leadership commitment. </w:t>
      </w:r>
      <w:r w:rsidR="00A41048" w:rsidRPr="00A41048">
        <w:rPr>
          <w:b/>
          <w:bCs/>
        </w:rPr>
        <w:t xml:space="preserve">Question from </w:t>
      </w:r>
      <w:r>
        <w:rPr>
          <w:b/>
          <w:bCs/>
        </w:rPr>
        <w:t xml:space="preserve">IC: </w:t>
      </w:r>
      <w:r>
        <w:t xml:space="preserve"> any push back from staff and unions</w:t>
      </w:r>
      <w:r w:rsidR="00A41048">
        <w:t xml:space="preserve"> about EH workers holding more complex cases?</w:t>
      </w:r>
      <w:r>
        <w:t xml:space="preserve"> </w:t>
      </w:r>
      <w:r w:rsidR="00A41048">
        <w:t xml:space="preserve">EK responded: </w:t>
      </w:r>
      <w:r>
        <w:t>We will be collocat</w:t>
      </w:r>
      <w:r w:rsidR="00A41048">
        <w:t>ing</w:t>
      </w:r>
      <w:r>
        <w:t xml:space="preserve"> and </w:t>
      </w:r>
      <w:r w:rsidR="00A41048">
        <w:t xml:space="preserve">there will be both social workers and </w:t>
      </w:r>
      <w:proofErr w:type="spellStart"/>
      <w:proofErr w:type="gramStart"/>
      <w:r w:rsidR="00A41048">
        <w:t>non social</w:t>
      </w:r>
      <w:proofErr w:type="spellEnd"/>
      <w:proofErr w:type="gramEnd"/>
      <w:r w:rsidR="00A41048">
        <w:t xml:space="preserve"> workers </w:t>
      </w:r>
      <w:r>
        <w:t xml:space="preserve">in the pods, but levels of need and risk that people will hold will be </w:t>
      </w:r>
      <w:proofErr w:type="gramStart"/>
      <w:r>
        <w:t>similar</w:t>
      </w:r>
      <w:r w:rsidR="00A41048">
        <w:t xml:space="preserve"> to</w:t>
      </w:r>
      <w:proofErr w:type="gramEnd"/>
      <w:r w:rsidR="00A41048">
        <w:t xml:space="preserve"> what they were before</w:t>
      </w:r>
      <w:r>
        <w:t xml:space="preserve">.  </w:t>
      </w:r>
      <w:r w:rsidR="00A41048">
        <w:t>They are l</w:t>
      </w:r>
      <w:r>
        <w:t xml:space="preserve">ooking to codesign a single assessment.   </w:t>
      </w:r>
      <w:r w:rsidR="00A41048">
        <w:rPr>
          <w:b/>
          <w:bCs/>
        </w:rPr>
        <w:t xml:space="preserve">Action: </w:t>
      </w:r>
      <w:r>
        <w:t xml:space="preserve">SH offered to meet up </w:t>
      </w:r>
      <w:r w:rsidR="00E31466">
        <w:t xml:space="preserve">with EK </w:t>
      </w:r>
      <w:r>
        <w:t xml:space="preserve">to </w:t>
      </w:r>
      <w:r w:rsidR="00A41048">
        <w:t xml:space="preserve">share more about Hants journey to </w:t>
      </w:r>
      <w:r>
        <w:t xml:space="preserve">move family practitioners </w:t>
      </w:r>
      <w:r w:rsidR="00A41048">
        <w:t xml:space="preserve">to family help </w:t>
      </w:r>
      <w:r>
        <w:t xml:space="preserve">and </w:t>
      </w:r>
      <w:r w:rsidR="00A41048">
        <w:t>where they disbanded previous</w:t>
      </w:r>
      <w:r>
        <w:t xml:space="preserve"> early help services </w:t>
      </w:r>
      <w:r w:rsidR="00A41048">
        <w:t xml:space="preserve">moving </w:t>
      </w:r>
      <w:r>
        <w:t xml:space="preserve">to </w:t>
      </w:r>
      <w:r w:rsidR="00A41048">
        <w:t xml:space="preserve">a </w:t>
      </w:r>
      <w:r>
        <w:t xml:space="preserve">geographical model with targeted early help, plus level 4 and CIN. </w:t>
      </w:r>
    </w:p>
    <w:p w14:paraId="117CD89F" w14:textId="77777777" w:rsidR="002F71C3" w:rsidRPr="00B513BC" w:rsidRDefault="002F71C3" w:rsidP="002F71C3">
      <w:r>
        <w:t xml:space="preserve">ST asked about MACPT recruitment and partner buy in.  EK said know where they want to head, but at early stages.  There is a tri borough arrangement with TVP they are seeing their role as extending and building on MASH. </w:t>
      </w:r>
    </w:p>
    <w:p w14:paraId="7D8F0561" w14:textId="3D6E2B6A" w:rsidR="002F71C3" w:rsidRDefault="002F71C3" w:rsidP="002F71C3">
      <w:r>
        <w:rPr>
          <w:b/>
          <w:bCs/>
        </w:rPr>
        <w:t xml:space="preserve">JJ interested </w:t>
      </w:r>
      <w:r w:rsidRPr="00723454">
        <w:t>in how targeted EH is happening family centres</w:t>
      </w:r>
      <w:r w:rsidR="00A41048">
        <w:t>. She reflected there is</w:t>
      </w:r>
      <w:r w:rsidRPr="00723454">
        <w:t xml:space="preserve"> no intention to bring that </w:t>
      </w:r>
      <w:proofErr w:type="gramStart"/>
      <w:r w:rsidRPr="00723454">
        <w:t>in to</w:t>
      </w:r>
      <w:proofErr w:type="gramEnd"/>
      <w:r w:rsidRPr="00723454">
        <w:t xml:space="preserve"> family help in Surrey. </w:t>
      </w:r>
      <w:r>
        <w:t xml:space="preserve">MF said they went from c50 children’s centres to around 12.  Kept the </w:t>
      </w:r>
      <w:r w:rsidR="00A41048">
        <w:t>S</w:t>
      </w:r>
      <w:r>
        <w:t xml:space="preserve">ure </w:t>
      </w:r>
      <w:r w:rsidR="00A41048">
        <w:t>S</w:t>
      </w:r>
      <w:r>
        <w:t xml:space="preserve">tart type </w:t>
      </w:r>
      <w:proofErr w:type="gramStart"/>
      <w:r>
        <w:t>model, but</w:t>
      </w:r>
      <w:proofErr w:type="gramEnd"/>
      <w:r>
        <w:t xml:space="preserve"> made it more of a community offer.  Kept capacity in schools as well (up to level 2 capacity is retained in schools). </w:t>
      </w:r>
    </w:p>
    <w:p w14:paraId="72CE4E39" w14:textId="3E99BE1F" w:rsidR="002F71C3" w:rsidRDefault="002F71C3" w:rsidP="002F71C3">
      <w:r>
        <w:t xml:space="preserve">SH said there are large number of libraries and in Hampshire they are moving some family help teams into some libraries.  SH reflected it is a mix of </w:t>
      </w:r>
      <w:r w:rsidR="00A41048">
        <w:t xml:space="preserve">decisions </w:t>
      </w:r>
      <w:r>
        <w:t xml:space="preserve">being </w:t>
      </w:r>
      <w:r w:rsidR="00A41048">
        <w:t xml:space="preserve">driven by </w:t>
      </w:r>
      <w:r>
        <w:t xml:space="preserve">building location, need profile and service offer which makes It complicated. </w:t>
      </w:r>
    </w:p>
    <w:p w14:paraId="5F56AF07" w14:textId="7315EA8C" w:rsidR="00354A97" w:rsidRDefault="006412CC" w:rsidP="00ED41D7">
      <w:pPr>
        <w:tabs>
          <w:tab w:val="left" w:pos="1510"/>
        </w:tabs>
        <w:rPr>
          <w:b/>
          <w:bCs/>
        </w:rPr>
      </w:pPr>
      <w:r>
        <w:rPr>
          <w:b/>
          <w:bCs/>
        </w:rPr>
        <w:t>Item</w:t>
      </w:r>
      <w:r w:rsidR="001F0F8E">
        <w:rPr>
          <w:b/>
          <w:bCs/>
        </w:rPr>
        <w:t xml:space="preserve"> </w:t>
      </w:r>
      <w:r w:rsidR="005724A7">
        <w:rPr>
          <w:b/>
          <w:bCs/>
        </w:rPr>
        <w:t xml:space="preserve">2: themed discussion: </w:t>
      </w:r>
      <w:r w:rsidR="002F71C3">
        <w:rPr>
          <w:b/>
          <w:bCs/>
        </w:rPr>
        <w:t>Kinship</w:t>
      </w:r>
    </w:p>
    <w:p w14:paraId="748119C2" w14:textId="184B20B1" w:rsidR="00A41048" w:rsidRDefault="00A41048" w:rsidP="00ED41D7">
      <w:pPr>
        <w:tabs>
          <w:tab w:val="left" w:pos="1510"/>
        </w:tabs>
      </w:pPr>
      <w:r w:rsidRPr="00A41048">
        <w:t xml:space="preserve">NB presented on </w:t>
      </w:r>
      <w:proofErr w:type="spellStart"/>
      <w:r w:rsidRPr="00A41048">
        <w:t>AfC’s</w:t>
      </w:r>
      <w:proofErr w:type="spellEnd"/>
      <w:r w:rsidRPr="00A41048">
        <w:t xml:space="preserve"> journey around its Kinship offer</w:t>
      </w:r>
      <w:r>
        <w:t xml:space="preserve"> (presentation attached separately)</w:t>
      </w:r>
      <w:r w:rsidRPr="00A41048">
        <w:t>.</w:t>
      </w:r>
      <w:r>
        <w:t xml:space="preserve"> </w:t>
      </w:r>
    </w:p>
    <w:p w14:paraId="1B7517F6" w14:textId="0E4233AC" w:rsidR="00A41048" w:rsidRDefault="00A41048" w:rsidP="00A41048">
      <w:r>
        <w:t xml:space="preserve">NB reflected that before the change, </w:t>
      </w:r>
      <w:r w:rsidRPr="00412138">
        <w:t xml:space="preserve">it was a separated programme </w:t>
      </w:r>
      <w:r>
        <w:t>overseen by 5 different ADs.  There was a lack of confidence in staff and a lack of consistent practice around kinship.  There was only</w:t>
      </w:r>
      <w:r w:rsidRPr="00412138">
        <w:t xml:space="preserve"> </w:t>
      </w:r>
      <w:r>
        <w:t xml:space="preserve">one </w:t>
      </w:r>
      <w:r>
        <w:t xml:space="preserve">FGC </w:t>
      </w:r>
      <w:r>
        <w:t>coordinator, not well embedded in practice</w:t>
      </w:r>
      <w:r>
        <w:t xml:space="preserve"> and s</w:t>
      </w:r>
      <w:r>
        <w:t xml:space="preserve">taff </w:t>
      </w:r>
      <w:r>
        <w:t xml:space="preserve">were </w:t>
      </w:r>
      <w:r>
        <w:t xml:space="preserve">saying they didn’t have good understanding of reg 24. </w:t>
      </w:r>
    </w:p>
    <w:p w14:paraId="3BCBDEEB" w14:textId="77777777" w:rsidR="003102F7" w:rsidRDefault="00A41048" w:rsidP="003102F7">
      <w:r>
        <w:t>Did a review, got feedback from different parts of the system. Created a fostering and kinship team and brought FGC in</w:t>
      </w:r>
      <w:r w:rsidR="003102F7">
        <w:t>to</w:t>
      </w:r>
      <w:r>
        <w:t xml:space="preserve"> this service. </w:t>
      </w:r>
      <w:r w:rsidR="003102F7">
        <w:t>This was supported by l</w:t>
      </w:r>
      <w:r>
        <w:t xml:space="preserve">ots of training. </w:t>
      </w:r>
      <w:r w:rsidR="003102F7">
        <w:t>They b</w:t>
      </w:r>
      <w:r>
        <w:t xml:space="preserve">rought back post-SGO support from </w:t>
      </w:r>
      <w:r w:rsidR="003102F7">
        <w:t>A</w:t>
      </w:r>
      <w:r>
        <w:t xml:space="preserve">dopt </w:t>
      </w:r>
      <w:r w:rsidR="003102F7">
        <w:t>T</w:t>
      </w:r>
      <w:r>
        <w:t xml:space="preserve">hames </w:t>
      </w:r>
      <w:r w:rsidR="003102F7">
        <w:t>V</w:t>
      </w:r>
      <w:r>
        <w:t xml:space="preserve">alley.  </w:t>
      </w:r>
      <w:r w:rsidR="003102F7">
        <w:t>They now h</w:t>
      </w:r>
      <w:r>
        <w:t>ave 2 workers that now do all viability assessment</w:t>
      </w:r>
      <w:r w:rsidR="003102F7">
        <w:t>s</w:t>
      </w:r>
      <w:r>
        <w:t xml:space="preserve"> across the three LAs and a total of 10 FGC Coordinators. </w:t>
      </w:r>
      <w:proofErr w:type="spellStart"/>
      <w:r w:rsidR="003102F7">
        <w:t>Afc</w:t>
      </w:r>
      <w:proofErr w:type="spellEnd"/>
      <w:r w:rsidR="003102F7">
        <w:t xml:space="preserve"> have also d</w:t>
      </w:r>
      <w:r>
        <w:t xml:space="preserve">eveloped an opt-out </w:t>
      </w:r>
      <w:proofErr w:type="gramStart"/>
      <w:r>
        <w:t>3 month</w:t>
      </w:r>
      <w:proofErr w:type="gramEnd"/>
      <w:r>
        <w:t xml:space="preserve"> standard post SG support </w:t>
      </w:r>
      <w:proofErr w:type="gramStart"/>
      <w:r>
        <w:t>offer</w:t>
      </w:r>
      <w:proofErr w:type="gramEnd"/>
      <w:r>
        <w:t xml:space="preserve"> which everyone gets.  </w:t>
      </w:r>
      <w:r w:rsidR="003102F7">
        <w:t xml:space="preserve">There was a briefing for all staff which was in part co-delivered by kinship families. NB reflected that they have also shifted their wording from kinship to connected, which incorporates a wider set of relationships. </w:t>
      </w:r>
    </w:p>
    <w:p w14:paraId="2DF7EE13" w14:textId="5D4F65D2" w:rsidR="00A41048" w:rsidRPr="00A41048" w:rsidRDefault="003102F7" w:rsidP="003102F7">
      <w:proofErr w:type="gramStart"/>
      <w:r>
        <w:t>As a consequence of</w:t>
      </w:r>
      <w:proofErr w:type="gramEnd"/>
      <w:r>
        <w:t xml:space="preserve"> work in </w:t>
      </w:r>
      <w:proofErr w:type="spellStart"/>
      <w:r>
        <w:t>AfC</w:t>
      </w:r>
      <w:proofErr w:type="spellEnd"/>
      <w:r>
        <w:t xml:space="preserve"> there are n</w:t>
      </w:r>
      <w:r>
        <w:t xml:space="preserve">ow 50% kinship carers.  </w:t>
      </w:r>
      <w:r>
        <w:t>Now l</w:t>
      </w:r>
      <w:r>
        <w:t>ooking a financial offer. Seen a huge increase in the number of</w:t>
      </w:r>
      <w:r>
        <w:t xml:space="preserve"> </w:t>
      </w:r>
      <w:r>
        <w:t>children being placed</w:t>
      </w:r>
      <w:r>
        <w:t xml:space="preserve"> in these sorts of arrangements.</w:t>
      </w:r>
      <w:r>
        <w:t xml:space="preserve"> </w:t>
      </w:r>
    </w:p>
    <w:p w14:paraId="0893B4CC" w14:textId="676FD446" w:rsidR="00A41048" w:rsidRDefault="00A41048" w:rsidP="00ED41D7">
      <w:pPr>
        <w:tabs>
          <w:tab w:val="left" w:pos="1510"/>
        </w:tabs>
      </w:pPr>
      <w:r w:rsidRPr="00A41048">
        <w:t xml:space="preserve">RE reminded the group about the Kinship Reach pilot which is run by the national charity Kinship and which all LAs (apart from Kent) are participating in. </w:t>
      </w:r>
    </w:p>
    <w:p w14:paraId="2AA11C41" w14:textId="12DC084C" w:rsidR="003102F7" w:rsidRPr="00A41048" w:rsidRDefault="003102F7" w:rsidP="00ED41D7">
      <w:pPr>
        <w:tabs>
          <w:tab w:val="left" w:pos="1510"/>
        </w:tabs>
      </w:pPr>
      <w:hyperlink r:id="rId5" w:tgtFrame="_blank" w:tooltip="https://www.seslip.co.uk/project-28-piloting-kinship-reach/" w:history="1">
        <w:r w:rsidRPr="003102F7">
          <w:rPr>
            <w:rStyle w:val="Hyperlink"/>
          </w:rPr>
          <w:t>Project 28: Piloting Kinship Reach – SESLIP</w:t>
        </w:r>
      </w:hyperlink>
    </w:p>
    <w:p w14:paraId="5082A130" w14:textId="7A762602" w:rsidR="001F0F8E" w:rsidRDefault="003D4169" w:rsidP="5A25F53F">
      <w:pPr>
        <w:tabs>
          <w:tab w:val="left" w:pos="1510"/>
        </w:tabs>
        <w:rPr>
          <w:b/>
          <w:bCs/>
        </w:rPr>
      </w:pPr>
      <w:r w:rsidRPr="0029297A">
        <w:rPr>
          <w:b/>
          <w:bCs/>
        </w:rPr>
        <w:t xml:space="preserve">Item </w:t>
      </w:r>
      <w:r w:rsidR="001F0F8E" w:rsidRPr="0029297A">
        <w:rPr>
          <w:b/>
          <w:bCs/>
        </w:rPr>
        <w:t>3</w:t>
      </w:r>
      <w:r w:rsidRPr="0029297A">
        <w:rPr>
          <w:b/>
          <w:bCs/>
        </w:rPr>
        <w:t xml:space="preserve">: </w:t>
      </w:r>
      <w:r w:rsidR="002F71C3">
        <w:rPr>
          <w:b/>
          <w:bCs/>
        </w:rPr>
        <w:t>MACPT and family help projection tools</w:t>
      </w:r>
    </w:p>
    <w:p w14:paraId="50C035EC" w14:textId="7437E193" w:rsidR="003102F7" w:rsidRPr="00F97C60" w:rsidRDefault="003102F7" w:rsidP="5A25F53F">
      <w:pPr>
        <w:tabs>
          <w:tab w:val="left" w:pos="1510"/>
        </w:tabs>
      </w:pPr>
      <w:r>
        <w:t xml:space="preserve">RE and SR shared two </w:t>
      </w:r>
      <w:proofErr w:type="gramStart"/>
      <w:r>
        <w:t>spreadsheet based</w:t>
      </w:r>
      <w:proofErr w:type="gramEnd"/>
      <w:r>
        <w:t xml:space="preserve"> tools. The first was from LIIA (the London children’s services improvement group) which estimates the amount of capacity needed in an MACPT </w:t>
      </w:r>
      <w:r>
        <w:lastRenderedPageBreak/>
        <w:t xml:space="preserve">based on inputting LA demand data. The second was for estimating possible family help structures, again based on current and future projections of demand. </w:t>
      </w:r>
    </w:p>
    <w:p w14:paraId="7ED1E53D" w14:textId="77777777" w:rsidR="003102F7" w:rsidRDefault="008C593C" w:rsidP="5A25F53F">
      <w:pPr>
        <w:tabs>
          <w:tab w:val="left" w:pos="1510"/>
        </w:tabs>
        <w:rPr>
          <w:b/>
          <w:bCs/>
        </w:rPr>
      </w:pPr>
      <w:r w:rsidRPr="008C593C">
        <w:rPr>
          <w:b/>
          <w:bCs/>
        </w:rPr>
        <w:t xml:space="preserve">Item 4: </w:t>
      </w:r>
      <w:r w:rsidR="003102F7">
        <w:rPr>
          <w:b/>
          <w:bCs/>
        </w:rPr>
        <w:t>Benchmarking</w:t>
      </w:r>
    </w:p>
    <w:p w14:paraId="7BBDA9BE" w14:textId="2C044AC3" w:rsidR="003102F7" w:rsidRDefault="003102F7" w:rsidP="5A25F53F">
      <w:pPr>
        <w:tabs>
          <w:tab w:val="left" w:pos="1510"/>
        </w:tabs>
      </w:pPr>
      <w:r>
        <w:t xml:space="preserve"> SR shared benchmarking data.  </w:t>
      </w:r>
      <w:r>
        <w:rPr>
          <w:b/>
          <w:bCs/>
        </w:rPr>
        <w:t xml:space="preserve"> Action: </w:t>
      </w:r>
      <w:r>
        <w:t xml:space="preserve"> Was agreed to set up subgroups of the LAs with the same case</w:t>
      </w:r>
      <w:r w:rsidR="00E31466">
        <w:t xml:space="preserve"> management</w:t>
      </w:r>
      <w:r>
        <w:t xml:space="preserve"> system with a focus on reforms</w:t>
      </w:r>
    </w:p>
    <w:p w14:paraId="0379A4D7" w14:textId="54598A7B" w:rsidR="003102F7" w:rsidRDefault="003102F7" w:rsidP="5A25F53F">
      <w:pPr>
        <w:tabs>
          <w:tab w:val="left" w:pos="1510"/>
        </w:tabs>
      </w:pPr>
      <w:r>
        <w:t>SH noted that it was interesting that some LAs with no FGC offer still had relatively high step down from PLO figures and there wasn’t a strong correlation between LAs with high PLO step downs and high FGC take up</w:t>
      </w:r>
      <w:r w:rsidR="00E31466">
        <w:t>.</w:t>
      </w:r>
      <w:r>
        <w:t xml:space="preserve"> </w:t>
      </w:r>
    </w:p>
    <w:p w14:paraId="3EA90611" w14:textId="4E49D2BD" w:rsidR="003102F7" w:rsidRPr="003102F7" w:rsidRDefault="003102F7" w:rsidP="5A25F53F">
      <w:pPr>
        <w:tabs>
          <w:tab w:val="left" w:pos="1510"/>
        </w:tabs>
      </w:pPr>
      <w:r w:rsidRPr="003102F7">
        <w:drawing>
          <wp:inline distT="0" distB="0" distL="0" distR="0" wp14:anchorId="012688F0" wp14:editId="32573DC3">
            <wp:extent cx="5731510" cy="3216275"/>
            <wp:effectExtent l="0" t="0" r="2540" b="3175"/>
            <wp:docPr id="1980521183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21183" name="Picture 1" descr="A screenshot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4D2FA" w14:textId="6DD1E5A6" w:rsidR="008C593C" w:rsidRDefault="003102F7" w:rsidP="5A25F53F">
      <w:pPr>
        <w:tabs>
          <w:tab w:val="left" w:pos="1510"/>
        </w:tabs>
        <w:rPr>
          <w:b/>
          <w:bCs/>
        </w:rPr>
      </w:pPr>
      <w:r w:rsidRPr="003102F7">
        <w:rPr>
          <w:b/>
          <w:bCs/>
        </w:rPr>
        <w:t xml:space="preserve">Item </w:t>
      </w:r>
      <w:r>
        <w:rPr>
          <w:b/>
          <w:bCs/>
        </w:rPr>
        <w:t xml:space="preserve">5: </w:t>
      </w:r>
      <w:r w:rsidR="008C593C" w:rsidRPr="008C593C">
        <w:rPr>
          <w:b/>
          <w:bCs/>
        </w:rPr>
        <w:t>Focus items for next time</w:t>
      </w:r>
    </w:p>
    <w:p w14:paraId="6C58AF97" w14:textId="69CACCF4" w:rsidR="00763BA3" w:rsidRDefault="002F71C3" w:rsidP="5A25F53F">
      <w:pPr>
        <w:tabs>
          <w:tab w:val="left" w:pos="1510"/>
        </w:tabs>
      </w:pPr>
      <w:r>
        <w:t>Agreed for a focus item on MACPTs to be facilitated by ex-DCS Clare Chamberlain.  Possibly a future session to be attended by DfE.</w:t>
      </w:r>
    </w:p>
    <w:p w14:paraId="597FE983" w14:textId="654C48B0" w:rsidR="002F71C3" w:rsidRDefault="002F71C3" w:rsidP="5A25F53F">
      <w:pPr>
        <w:tabs>
          <w:tab w:val="left" w:pos="1510"/>
        </w:tabs>
      </w:pPr>
      <w:r>
        <w:t>Themed discussion on Hampshire model of family workers</w:t>
      </w:r>
    </w:p>
    <w:p w14:paraId="27A3545B" w14:textId="427D99F7" w:rsidR="002F71C3" w:rsidRDefault="002F71C3" w:rsidP="5A25F53F">
      <w:pPr>
        <w:tabs>
          <w:tab w:val="left" w:pos="1510"/>
        </w:tabs>
      </w:pPr>
      <w:r>
        <w:rPr>
          <w:b/>
          <w:bCs/>
        </w:rPr>
        <w:t>AOB:</w:t>
      </w:r>
      <w:r w:rsidR="00E31466">
        <w:rPr>
          <w:b/>
          <w:bCs/>
        </w:rPr>
        <w:t xml:space="preserve"> </w:t>
      </w:r>
      <w:r w:rsidR="00E31466">
        <w:t xml:space="preserve"> RE asked if any LAs had been practically progressing conversations with health colleagues around CYP MDMs or other health driven neighbourhood approaches and ensuring these </w:t>
      </w:r>
      <w:proofErr w:type="gramStart"/>
      <w:r w:rsidR="00E31466">
        <w:t>were connected with</w:t>
      </w:r>
      <w:proofErr w:type="gramEnd"/>
      <w:r w:rsidR="00E31466">
        <w:t xml:space="preserve"> neighbourhood/locality family help structures?</w:t>
      </w:r>
    </w:p>
    <w:p w14:paraId="1D5D5CE9" w14:textId="0523DD69" w:rsidR="00E31466" w:rsidRDefault="00E31466" w:rsidP="00E31466">
      <w:r>
        <w:t xml:space="preserve">Andrea King – said Frimley and BOB are merging into one. </w:t>
      </w:r>
      <w:r>
        <w:t xml:space="preserve"> They are in the process of n</w:t>
      </w:r>
      <w:r>
        <w:t xml:space="preserve">egotiating a continued focus on children, a focus on family help and linking to their neighbourhood developments which are quite adult focused. </w:t>
      </w:r>
      <w:r>
        <w:t xml:space="preserve">AK reflected that a focus on </w:t>
      </w:r>
      <w:r>
        <w:t>SEND has enabled us to get agreement to connect – 3 chief exec briefings</w:t>
      </w:r>
      <w:r>
        <w:t xml:space="preserve"> have taken place</w:t>
      </w:r>
      <w:r>
        <w:t xml:space="preserve">. </w:t>
      </w:r>
    </w:p>
    <w:p w14:paraId="7B26DF9C" w14:textId="44D67203" w:rsidR="00E31466" w:rsidRDefault="00E31466" w:rsidP="00E31466">
      <w:r>
        <w:t xml:space="preserve">JJ reflected that as part of LGR </w:t>
      </w:r>
      <w:r>
        <w:t xml:space="preserve">Neighbourhood area committees are being developed as part of Surrey initiative. </w:t>
      </w:r>
    </w:p>
    <w:p w14:paraId="44698AAA" w14:textId="0C2CBFA3" w:rsidR="00E31466" w:rsidRDefault="00E31466" w:rsidP="00E31466">
      <w:r>
        <w:rPr>
          <w:b/>
          <w:bCs/>
        </w:rPr>
        <w:t xml:space="preserve">Action: </w:t>
      </w:r>
      <w:r>
        <w:t xml:space="preserve"> future item on sharing content from DfE meetings</w:t>
      </w:r>
    </w:p>
    <w:p w14:paraId="166BADBD" w14:textId="31056603" w:rsidR="00E31466" w:rsidRPr="00E31466" w:rsidRDefault="00E31466" w:rsidP="00E31466">
      <w:r>
        <w:rPr>
          <w:b/>
          <w:bCs/>
        </w:rPr>
        <w:t xml:space="preserve">Action: </w:t>
      </w:r>
      <w:r>
        <w:t xml:space="preserve"> All to submit DfE delivery plan part two to SR and RE to present back to the group</w:t>
      </w:r>
    </w:p>
    <w:p w14:paraId="0CBF2129" w14:textId="19AAC666" w:rsidR="000315B2" w:rsidRPr="000315B2" w:rsidRDefault="002F71C3" w:rsidP="00E31466">
      <w:pPr>
        <w:tabs>
          <w:tab w:val="left" w:pos="1510"/>
        </w:tabs>
      </w:pPr>
      <w:r>
        <w:rPr>
          <w:b/>
          <w:bCs/>
        </w:rPr>
        <w:lastRenderedPageBreak/>
        <w:t xml:space="preserve">Issues for escalation: </w:t>
      </w:r>
      <w:r>
        <w:t xml:space="preserve"> None</w:t>
      </w:r>
    </w:p>
    <w:p w14:paraId="6458507F" w14:textId="1B67D047" w:rsidR="004F7FA2" w:rsidRPr="00DF0900" w:rsidRDefault="004F7FA2" w:rsidP="009D5B0C">
      <w:pPr>
        <w:sectPr w:rsidR="004F7FA2" w:rsidRPr="00DF090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FBAABA2" w14:textId="1F3AF5FB" w:rsidR="00DA1723" w:rsidRPr="00E568C2" w:rsidRDefault="00DA1723" w:rsidP="00DA1723">
      <w:p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lastRenderedPageBreak/>
        <w:t xml:space="preserve">Action log: updated </w:t>
      </w:r>
      <w:r w:rsidR="00E31466">
        <w:rPr>
          <w:rFonts w:ascii="Raleway" w:hAnsi="Raleway"/>
          <w:b/>
          <w:bCs/>
        </w:rPr>
        <w:t xml:space="preserve">December 19 </w:t>
      </w:r>
      <w:r>
        <w:rPr>
          <w:bCs/>
        </w:rPr>
        <w:t>Shaded lines, actions are complete</w:t>
      </w:r>
    </w:p>
    <w:tbl>
      <w:tblPr>
        <w:tblStyle w:val="TableGrid"/>
        <w:tblW w:w="14596" w:type="dxa"/>
        <w:tblInd w:w="-147" w:type="dxa"/>
        <w:tblLook w:val="04A0" w:firstRow="1" w:lastRow="0" w:firstColumn="1" w:lastColumn="0" w:noHBand="0" w:noVBand="1"/>
      </w:tblPr>
      <w:tblGrid>
        <w:gridCol w:w="566"/>
        <w:gridCol w:w="9839"/>
        <w:gridCol w:w="1515"/>
        <w:gridCol w:w="1403"/>
        <w:gridCol w:w="1273"/>
      </w:tblGrid>
      <w:tr w:rsidR="00DA1723" w14:paraId="7D310D98" w14:textId="77777777" w:rsidTr="06462666">
        <w:tc>
          <w:tcPr>
            <w:tcW w:w="566" w:type="dxa"/>
            <w:shd w:val="clear" w:color="auto" w:fill="FFFFFF" w:themeFill="background1"/>
          </w:tcPr>
          <w:p w14:paraId="27574251" w14:textId="77777777" w:rsidR="00DA1723" w:rsidRDefault="00DA1723" w:rsidP="009068E7">
            <w:pPr>
              <w:contextualSpacing/>
              <w:rPr>
                <w:b/>
              </w:rPr>
            </w:pPr>
          </w:p>
        </w:tc>
        <w:tc>
          <w:tcPr>
            <w:tcW w:w="9839" w:type="dxa"/>
            <w:shd w:val="clear" w:color="auto" w:fill="FFFFFF" w:themeFill="background1"/>
          </w:tcPr>
          <w:p w14:paraId="5997D672" w14:textId="77777777" w:rsidR="00DA1723" w:rsidRDefault="00DA1723" w:rsidP="009068E7">
            <w:pPr>
              <w:contextualSpacing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515" w:type="dxa"/>
            <w:shd w:val="clear" w:color="auto" w:fill="FFFFFF" w:themeFill="background1"/>
          </w:tcPr>
          <w:p w14:paraId="310AB605" w14:textId="77777777" w:rsidR="00DA1723" w:rsidRDefault="00DA1723" w:rsidP="009068E7">
            <w:pPr>
              <w:contextualSpacing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1403" w:type="dxa"/>
            <w:shd w:val="clear" w:color="auto" w:fill="FFFFFF" w:themeFill="background1"/>
          </w:tcPr>
          <w:p w14:paraId="02F5B928" w14:textId="77777777" w:rsidR="00DA1723" w:rsidRDefault="00DA1723" w:rsidP="009068E7">
            <w:pPr>
              <w:contextualSpacing/>
              <w:rPr>
                <w:b/>
              </w:rPr>
            </w:pPr>
            <w:r>
              <w:rPr>
                <w:b/>
              </w:rPr>
              <w:t>Date issued</w:t>
            </w:r>
          </w:p>
        </w:tc>
        <w:tc>
          <w:tcPr>
            <w:tcW w:w="1273" w:type="dxa"/>
            <w:shd w:val="clear" w:color="auto" w:fill="FFFFFF" w:themeFill="background1"/>
          </w:tcPr>
          <w:p w14:paraId="27CCF71E" w14:textId="77777777" w:rsidR="00DA1723" w:rsidRDefault="00DA1723" w:rsidP="009068E7">
            <w:pPr>
              <w:contextualSpacing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DF0900" w14:paraId="2C3F9590" w14:textId="77777777" w:rsidTr="00E31466">
        <w:tc>
          <w:tcPr>
            <w:tcW w:w="566" w:type="dxa"/>
            <w:shd w:val="clear" w:color="auto" w:fill="ADADAD" w:themeFill="background2" w:themeFillShade="BF"/>
          </w:tcPr>
          <w:p w14:paraId="75D63D34" w14:textId="32B8AE32" w:rsidR="00DF0900" w:rsidRDefault="003D4169" w:rsidP="00DF0900">
            <w:pPr>
              <w:contextualSpacing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39" w:type="dxa"/>
            <w:shd w:val="clear" w:color="auto" w:fill="ADADAD" w:themeFill="background2" w:themeFillShade="BF"/>
          </w:tcPr>
          <w:p w14:paraId="36F6DE5D" w14:textId="2C8E07D1" w:rsidR="00DF0900" w:rsidRDefault="003D4169" w:rsidP="00DF0900">
            <w:pPr>
              <w:contextualSpacing/>
              <w:rPr>
                <w:b/>
              </w:rPr>
            </w:pPr>
            <w:r>
              <w:t xml:space="preserve">Priorities for the group listed in the Terms of reference to be amended </w:t>
            </w:r>
            <w:proofErr w:type="gramStart"/>
            <w:r>
              <w:t>in light of</w:t>
            </w:r>
            <w:proofErr w:type="gramEnd"/>
            <w:r>
              <w:t xml:space="preserve"> discussion at the end of the meeting.</w:t>
            </w:r>
          </w:p>
        </w:tc>
        <w:tc>
          <w:tcPr>
            <w:tcW w:w="1515" w:type="dxa"/>
            <w:shd w:val="clear" w:color="auto" w:fill="ADADAD" w:themeFill="background2" w:themeFillShade="BF"/>
          </w:tcPr>
          <w:p w14:paraId="37BD73F9" w14:textId="607CE70C" w:rsidR="00DF0900" w:rsidRPr="00DF0900" w:rsidRDefault="003D4169" w:rsidP="00DF0900">
            <w:pPr>
              <w:contextualSpacing/>
              <w:rPr>
                <w:bCs/>
              </w:rPr>
            </w:pPr>
            <w:r>
              <w:rPr>
                <w:bCs/>
              </w:rPr>
              <w:t>RE SR</w:t>
            </w:r>
          </w:p>
        </w:tc>
        <w:tc>
          <w:tcPr>
            <w:tcW w:w="1403" w:type="dxa"/>
            <w:shd w:val="clear" w:color="auto" w:fill="ADADAD" w:themeFill="background2" w:themeFillShade="BF"/>
          </w:tcPr>
          <w:p w14:paraId="7A16D74B" w14:textId="50947758" w:rsidR="00DF0900" w:rsidRDefault="00DF0900" w:rsidP="00DF0900">
            <w:pPr>
              <w:contextualSpacing/>
              <w:rPr>
                <w:b/>
              </w:rPr>
            </w:pPr>
            <w:r w:rsidRPr="00DF0900">
              <w:rPr>
                <w:bCs/>
              </w:rPr>
              <w:t>Sept 2025</w:t>
            </w:r>
          </w:p>
        </w:tc>
        <w:tc>
          <w:tcPr>
            <w:tcW w:w="1273" w:type="dxa"/>
            <w:shd w:val="clear" w:color="auto" w:fill="ADADAD" w:themeFill="background2" w:themeFillShade="BF"/>
          </w:tcPr>
          <w:p w14:paraId="594E4F28" w14:textId="1BACEA7E" w:rsidR="00DF0900" w:rsidRDefault="008C593C" w:rsidP="06462666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</w:tr>
      <w:tr w:rsidR="00DF0900" w14:paraId="705952B9" w14:textId="77777777" w:rsidTr="00E31466">
        <w:tc>
          <w:tcPr>
            <w:tcW w:w="566" w:type="dxa"/>
            <w:shd w:val="clear" w:color="auto" w:fill="ADADAD" w:themeFill="background2" w:themeFillShade="BF"/>
          </w:tcPr>
          <w:p w14:paraId="4D2807F6" w14:textId="71FF9126" w:rsidR="00DF0900" w:rsidRDefault="003D4169" w:rsidP="00DF0900">
            <w:pPr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39" w:type="dxa"/>
            <w:shd w:val="clear" w:color="auto" w:fill="ADADAD" w:themeFill="background2" w:themeFillShade="BF"/>
          </w:tcPr>
          <w:p w14:paraId="5873F236" w14:textId="77777777" w:rsidR="003D4169" w:rsidRPr="006412CC" w:rsidRDefault="003D4169" w:rsidP="003D4169">
            <w:pPr>
              <w:tabs>
                <w:tab w:val="left" w:pos="1510"/>
              </w:tabs>
              <w:rPr>
                <w:rFonts w:cstheme="majorHAnsi"/>
              </w:rPr>
            </w:pPr>
            <w:r>
              <w:rPr>
                <w:rFonts w:cstheme="majorHAnsi"/>
              </w:rPr>
              <w:t xml:space="preserve">IoW to present at future meeting about their family hubs model. </w:t>
            </w:r>
          </w:p>
          <w:p w14:paraId="13C65983" w14:textId="2F4606B5" w:rsidR="00DF0900" w:rsidRDefault="00DF0900" w:rsidP="00DF0900">
            <w:pPr>
              <w:contextualSpacing/>
              <w:rPr>
                <w:b/>
              </w:rPr>
            </w:pPr>
          </w:p>
        </w:tc>
        <w:tc>
          <w:tcPr>
            <w:tcW w:w="1515" w:type="dxa"/>
            <w:shd w:val="clear" w:color="auto" w:fill="ADADAD" w:themeFill="background2" w:themeFillShade="BF"/>
          </w:tcPr>
          <w:p w14:paraId="3B64B4B5" w14:textId="1C9F3123" w:rsidR="00DF0900" w:rsidRDefault="00B635FC" w:rsidP="06462666">
            <w:pPr>
              <w:contextualSpacing/>
            </w:pPr>
            <w:r>
              <w:t>KJ</w:t>
            </w:r>
          </w:p>
        </w:tc>
        <w:tc>
          <w:tcPr>
            <w:tcW w:w="1403" w:type="dxa"/>
            <w:shd w:val="clear" w:color="auto" w:fill="ADADAD" w:themeFill="background2" w:themeFillShade="BF"/>
          </w:tcPr>
          <w:p w14:paraId="21754D7C" w14:textId="685522B2" w:rsidR="00DF0900" w:rsidRDefault="00DF0900" w:rsidP="00DF0900">
            <w:pPr>
              <w:contextualSpacing/>
              <w:rPr>
                <w:b/>
              </w:rPr>
            </w:pPr>
            <w:r w:rsidRPr="00DF0900">
              <w:rPr>
                <w:bCs/>
              </w:rPr>
              <w:t>Sept 2025</w:t>
            </w:r>
          </w:p>
        </w:tc>
        <w:tc>
          <w:tcPr>
            <w:tcW w:w="1273" w:type="dxa"/>
            <w:shd w:val="clear" w:color="auto" w:fill="ADADAD" w:themeFill="background2" w:themeFillShade="BF"/>
          </w:tcPr>
          <w:p w14:paraId="2C2A5DB2" w14:textId="74A0CA94" w:rsidR="00DF0900" w:rsidRDefault="008C593C" w:rsidP="00DF0900">
            <w:pPr>
              <w:contextualSpacing/>
              <w:rPr>
                <w:b/>
              </w:rPr>
            </w:pPr>
            <w:r>
              <w:rPr>
                <w:b/>
              </w:rPr>
              <w:t>Complete</w:t>
            </w:r>
          </w:p>
        </w:tc>
      </w:tr>
      <w:tr w:rsidR="00DF0900" w14:paraId="420F74CD" w14:textId="77777777" w:rsidTr="00E31466">
        <w:tc>
          <w:tcPr>
            <w:tcW w:w="566" w:type="dxa"/>
            <w:shd w:val="clear" w:color="auto" w:fill="ADADAD" w:themeFill="background2" w:themeFillShade="BF"/>
          </w:tcPr>
          <w:p w14:paraId="5F225B6D" w14:textId="58D8BB5B" w:rsidR="00DF0900" w:rsidRDefault="00B635FC" w:rsidP="00DF0900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39" w:type="dxa"/>
            <w:shd w:val="clear" w:color="auto" w:fill="ADADAD" w:themeFill="background2" w:themeFillShade="BF"/>
          </w:tcPr>
          <w:p w14:paraId="441A42A2" w14:textId="15041245" w:rsidR="00DF0900" w:rsidRPr="00B635FC" w:rsidRDefault="00B635FC" w:rsidP="00B635FC">
            <w:pPr>
              <w:tabs>
                <w:tab w:val="left" w:pos="1510"/>
              </w:tabs>
            </w:pPr>
            <w:r>
              <w:t>Next meeting to hear from Reading/Brighter Futures, Slough Children first, Southampton, Surrey, West Berks, Wokingham, West Sussex and Achieving for Children</w:t>
            </w:r>
          </w:p>
        </w:tc>
        <w:tc>
          <w:tcPr>
            <w:tcW w:w="1515" w:type="dxa"/>
            <w:shd w:val="clear" w:color="auto" w:fill="ADADAD" w:themeFill="background2" w:themeFillShade="BF"/>
          </w:tcPr>
          <w:p w14:paraId="3E7B191E" w14:textId="1F6244E6" w:rsidR="00DF0900" w:rsidRPr="00DF0900" w:rsidRDefault="00B635FC" w:rsidP="00DF0900">
            <w:pPr>
              <w:contextualSpacing/>
              <w:rPr>
                <w:bCs/>
              </w:rPr>
            </w:pPr>
            <w:r>
              <w:rPr>
                <w:bCs/>
              </w:rPr>
              <w:t>Presenting LAs</w:t>
            </w:r>
          </w:p>
        </w:tc>
        <w:tc>
          <w:tcPr>
            <w:tcW w:w="1403" w:type="dxa"/>
            <w:shd w:val="clear" w:color="auto" w:fill="ADADAD" w:themeFill="background2" w:themeFillShade="BF"/>
          </w:tcPr>
          <w:p w14:paraId="137F6CB1" w14:textId="5DA2F762" w:rsidR="00DF0900" w:rsidRPr="00DF0900" w:rsidRDefault="00DF0900" w:rsidP="00DF0900">
            <w:pPr>
              <w:contextualSpacing/>
              <w:rPr>
                <w:bCs/>
              </w:rPr>
            </w:pPr>
            <w:r w:rsidRPr="00DF0900">
              <w:rPr>
                <w:bCs/>
              </w:rPr>
              <w:t>Sept 2025</w:t>
            </w:r>
          </w:p>
        </w:tc>
        <w:tc>
          <w:tcPr>
            <w:tcW w:w="1273" w:type="dxa"/>
            <w:shd w:val="clear" w:color="auto" w:fill="ADADAD" w:themeFill="background2" w:themeFillShade="BF"/>
          </w:tcPr>
          <w:p w14:paraId="1A797F25" w14:textId="377BBEBE" w:rsidR="00DF0900" w:rsidRPr="00DF0900" w:rsidRDefault="008C593C" w:rsidP="00DF0900">
            <w:pPr>
              <w:contextualSpacing/>
              <w:rPr>
                <w:bCs/>
              </w:rPr>
            </w:pPr>
            <w:r>
              <w:rPr>
                <w:bCs/>
              </w:rPr>
              <w:t>Complete</w:t>
            </w:r>
          </w:p>
        </w:tc>
      </w:tr>
      <w:tr w:rsidR="008C593C" w14:paraId="4DCD2E06" w14:textId="77777777" w:rsidTr="00E31466">
        <w:tc>
          <w:tcPr>
            <w:tcW w:w="566" w:type="dxa"/>
            <w:shd w:val="clear" w:color="auto" w:fill="ADADAD" w:themeFill="background2" w:themeFillShade="BF"/>
          </w:tcPr>
          <w:p w14:paraId="7C3FF1C8" w14:textId="536B8A40" w:rsidR="008C593C" w:rsidRDefault="008C593C" w:rsidP="00DF0900">
            <w:pPr>
              <w:contextualSpacing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39" w:type="dxa"/>
            <w:shd w:val="clear" w:color="auto" w:fill="ADADAD" w:themeFill="background2" w:themeFillShade="BF"/>
          </w:tcPr>
          <w:p w14:paraId="3C2B748A" w14:textId="0CB26E4E" w:rsidR="008C593C" w:rsidRDefault="00763BA3" w:rsidP="00B635FC">
            <w:pPr>
              <w:tabs>
                <w:tab w:val="left" w:pos="1510"/>
              </w:tabs>
            </w:pPr>
            <w:r>
              <w:t>Next meeting to hear from remaining LAs: West Sussex and Wokingham</w:t>
            </w:r>
          </w:p>
        </w:tc>
        <w:tc>
          <w:tcPr>
            <w:tcW w:w="1515" w:type="dxa"/>
            <w:shd w:val="clear" w:color="auto" w:fill="ADADAD" w:themeFill="background2" w:themeFillShade="BF"/>
          </w:tcPr>
          <w:p w14:paraId="6A22A587" w14:textId="56A4A1D8" w:rsidR="008C593C" w:rsidRDefault="00763BA3" w:rsidP="00DF0900">
            <w:pPr>
              <w:contextualSpacing/>
              <w:rPr>
                <w:bCs/>
              </w:rPr>
            </w:pPr>
            <w:r>
              <w:rPr>
                <w:bCs/>
              </w:rPr>
              <w:t>Presenting LAs</w:t>
            </w:r>
          </w:p>
        </w:tc>
        <w:tc>
          <w:tcPr>
            <w:tcW w:w="1403" w:type="dxa"/>
            <w:shd w:val="clear" w:color="auto" w:fill="ADADAD" w:themeFill="background2" w:themeFillShade="BF"/>
          </w:tcPr>
          <w:p w14:paraId="4E350C40" w14:textId="50FEBA55" w:rsidR="008C593C" w:rsidRPr="00DF0900" w:rsidRDefault="008C593C" w:rsidP="00DF0900">
            <w:pPr>
              <w:contextualSpacing/>
              <w:rPr>
                <w:bCs/>
              </w:rPr>
            </w:pPr>
            <w:r>
              <w:rPr>
                <w:bCs/>
              </w:rPr>
              <w:t>November 2025</w:t>
            </w:r>
          </w:p>
        </w:tc>
        <w:tc>
          <w:tcPr>
            <w:tcW w:w="1273" w:type="dxa"/>
            <w:shd w:val="clear" w:color="auto" w:fill="ADADAD" w:themeFill="background2" w:themeFillShade="BF"/>
          </w:tcPr>
          <w:p w14:paraId="6423D5C7" w14:textId="418A1906" w:rsidR="008C593C" w:rsidRDefault="00E31466" w:rsidP="00DF0900">
            <w:pPr>
              <w:contextualSpacing/>
              <w:rPr>
                <w:bCs/>
              </w:rPr>
            </w:pPr>
            <w:r>
              <w:rPr>
                <w:bCs/>
              </w:rPr>
              <w:t>complete</w:t>
            </w:r>
          </w:p>
        </w:tc>
      </w:tr>
      <w:tr w:rsidR="00763BA3" w14:paraId="655B80C1" w14:textId="77777777" w:rsidTr="00E31466">
        <w:tc>
          <w:tcPr>
            <w:tcW w:w="566" w:type="dxa"/>
            <w:shd w:val="clear" w:color="auto" w:fill="ADADAD" w:themeFill="background2" w:themeFillShade="BF"/>
          </w:tcPr>
          <w:p w14:paraId="50DBB2A5" w14:textId="02675E02" w:rsidR="00763BA3" w:rsidRDefault="00763BA3" w:rsidP="00DF0900">
            <w:pPr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39" w:type="dxa"/>
            <w:shd w:val="clear" w:color="auto" w:fill="ADADAD" w:themeFill="background2" w:themeFillShade="BF"/>
          </w:tcPr>
          <w:p w14:paraId="176149EC" w14:textId="528E29CC" w:rsidR="00763BA3" w:rsidRDefault="00763BA3" w:rsidP="00B635FC">
            <w:pPr>
              <w:tabs>
                <w:tab w:val="left" w:pos="1510"/>
              </w:tabs>
            </w:pPr>
            <w:r>
              <w:t>SR and RE to collate he case management systems that all LAs are working with so you can join up any conversations with providers.</w:t>
            </w:r>
          </w:p>
        </w:tc>
        <w:tc>
          <w:tcPr>
            <w:tcW w:w="1515" w:type="dxa"/>
            <w:shd w:val="clear" w:color="auto" w:fill="ADADAD" w:themeFill="background2" w:themeFillShade="BF"/>
          </w:tcPr>
          <w:p w14:paraId="0A5D9E62" w14:textId="2D43A20D" w:rsidR="00763BA3" w:rsidRDefault="00763BA3" w:rsidP="00DF0900">
            <w:pPr>
              <w:contextualSpacing/>
              <w:rPr>
                <w:bCs/>
              </w:rPr>
            </w:pPr>
            <w:r>
              <w:rPr>
                <w:bCs/>
              </w:rPr>
              <w:t>SR RE</w:t>
            </w:r>
          </w:p>
        </w:tc>
        <w:tc>
          <w:tcPr>
            <w:tcW w:w="1403" w:type="dxa"/>
            <w:shd w:val="clear" w:color="auto" w:fill="ADADAD" w:themeFill="background2" w:themeFillShade="BF"/>
          </w:tcPr>
          <w:p w14:paraId="4491B931" w14:textId="5330B233" w:rsidR="00763BA3" w:rsidRDefault="00763BA3" w:rsidP="00DF0900">
            <w:pPr>
              <w:contextualSpacing/>
              <w:rPr>
                <w:bCs/>
              </w:rPr>
            </w:pPr>
            <w:r>
              <w:rPr>
                <w:bCs/>
              </w:rPr>
              <w:t>November 2025</w:t>
            </w:r>
          </w:p>
        </w:tc>
        <w:tc>
          <w:tcPr>
            <w:tcW w:w="1273" w:type="dxa"/>
            <w:shd w:val="clear" w:color="auto" w:fill="ADADAD" w:themeFill="background2" w:themeFillShade="BF"/>
          </w:tcPr>
          <w:p w14:paraId="257A715B" w14:textId="3A7CCD8E" w:rsidR="00763BA3" w:rsidRDefault="00E31466" w:rsidP="00DF0900">
            <w:pPr>
              <w:contextualSpacing/>
              <w:rPr>
                <w:bCs/>
              </w:rPr>
            </w:pPr>
            <w:r>
              <w:rPr>
                <w:bCs/>
              </w:rPr>
              <w:t>Complete</w:t>
            </w:r>
          </w:p>
        </w:tc>
      </w:tr>
      <w:tr w:rsidR="00763BA3" w14:paraId="1DF0A9ED" w14:textId="77777777" w:rsidTr="06462666">
        <w:tc>
          <w:tcPr>
            <w:tcW w:w="566" w:type="dxa"/>
            <w:shd w:val="clear" w:color="auto" w:fill="FFFFFF" w:themeFill="background1"/>
          </w:tcPr>
          <w:p w14:paraId="273EBC7D" w14:textId="34B3AF75" w:rsidR="00763BA3" w:rsidRDefault="00763BA3" w:rsidP="00763BA3">
            <w:pPr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39" w:type="dxa"/>
            <w:shd w:val="clear" w:color="auto" w:fill="FFFFFF" w:themeFill="background1"/>
          </w:tcPr>
          <w:p w14:paraId="2CD1D064" w14:textId="0BD31972" w:rsidR="00763BA3" w:rsidRDefault="00763BA3" w:rsidP="00763BA3">
            <w:pPr>
              <w:tabs>
                <w:tab w:val="left" w:pos="1510"/>
              </w:tabs>
            </w:pPr>
            <w:r>
              <w:t>West Sussex and Milton Keynes to share family network meeting guidance</w:t>
            </w:r>
          </w:p>
        </w:tc>
        <w:tc>
          <w:tcPr>
            <w:tcW w:w="1515" w:type="dxa"/>
            <w:shd w:val="clear" w:color="auto" w:fill="FFFFFF" w:themeFill="background1"/>
          </w:tcPr>
          <w:p w14:paraId="08346306" w14:textId="6831B8A0" w:rsidR="00763BA3" w:rsidRDefault="00763BA3" w:rsidP="00763BA3">
            <w:pPr>
              <w:contextualSpacing/>
              <w:rPr>
                <w:bCs/>
              </w:rPr>
            </w:pPr>
            <w:r>
              <w:rPr>
                <w:bCs/>
              </w:rPr>
              <w:t>DE JT</w:t>
            </w:r>
          </w:p>
        </w:tc>
        <w:tc>
          <w:tcPr>
            <w:tcW w:w="1403" w:type="dxa"/>
            <w:shd w:val="clear" w:color="auto" w:fill="FFFFFF" w:themeFill="background1"/>
          </w:tcPr>
          <w:p w14:paraId="5CC796B9" w14:textId="52AA50FF" w:rsidR="00763BA3" w:rsidRDefault="00763BA3" w:rsidP="00763BA3">
            <w:pPr>
              <w:contextualSpacing/>
              <w:rPr>
                <w:bCs/>
              </w:rPr>
            </w:pPr>
            <w:r>
              <w:rPr>
                <w:bCs/>
              </w:rPr>
              <w:t>November 2025</w:t>
            </w:r>
          </w:p>
        </w:tc>
        <w:tc>
          <w:tcPr>
            <w:tcW w:w="1273" w:type="dxa"/>
            <w:shd w:val="clear" w:color="auto" w:fill="FFFFFF" w:themeFill="background1"/>
          </w:tcPr>
          <w:p w14:paraId="6FEE243A" w14:textId="342C50E3" w:rsidR="00763BA3" w:rsidRDefault="00E31466" w:rsidP="00763BA3">
            <w:pPr>
              <w:contextualSpacing/>
              <w:rPr>
                <w:bCs/>
              </w:rPr>
            </w:pPr>
            <w:r>
              <w:rPr>
                <w:bCs/>
              </w:rPr>
              <w:t>Partial</w:t>
            </w:r>
          </w:p>
        </w:tc>
      </w:tr>
      <w:tr w:rsidR="00763BA3" w14:paraId="69ADCC52" w14:textId="77777777" w:rsidTr="00E31466">
        <w:tc>
          <w:tcPr>
            <w:tcW w:w="566" w:type="dxa"/>
            <w:shd w:val="clear" w:color="auto" w:fill="ADADAD" w:themeFill="background2" w:themeFillShade="BF"/>
          </w:tcPr>
          <w:p w14:paraId="3F545D2A" w14:textId="47C10ADF" w:rsidR="00763BA3" w:rsidRDefault="00763BA3" w:rsidP="00763BA3">
            <w:pPr>
              <w:contextualSpacing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39" w:type="dxa"/>
            <w:shd w:val="clear" w:color="auto" w:fill="ADADAD" w:themeFill="background2" w:themeFillShade="BF"/>
          </w:tcPr>
          <w:p w14:paraId="2286EE8C" w14:textId="29B2B471" w:rsidR="00763BA3" w:rsidRDefault="00763BA3" w:rsidP="00763BA3">
            <w:pPr>
              <w:tabs>
                <w:tab w:val="left" w:pos="1510"/>
              </w:tabs>
            </w:pPr>
            <w:r>
              <w:t xml:space="preserve">SR and RE </w:t>
            </w:r>
            <w:proofErr w:type="gramStart"/>
            <w:r>
              <w:t>to  benchmark</w:t>
            </w:r>
            <w:proofErr w:type="gramEnd"/>
            <w:r>
              <w:t xml:space="preserve"> conversion of PLO to proceedings in LA with established FGC vs those </w:t>
            </w:r>
            <w:proofErr w:type="gramStart"/>
            <w:r>
              <w:t>without .</w:t>
            </w:r>
            <w:proofErr w:type="gramEnd"/>
            <w:r>
              <w:t xml:space="preserve"> 43% PLO don’t go to court proceedings in Milton Keynes where FGCs are well embedded with 80% take up.</w:t>
            </w:r>
          </w:p>
        </w:tc>
        <w:tc>
          <w:tcPr>
            <w:tcW w:w="1515" w:type="dxa"/>
            <w:shd w:val="clear" w:color="auto" w:fill="ADADAD" w:themeFill="background2" w:themeFillShade="BF"/>
          </w:tcPr>
          <w:p w14:paraId="2D7A45FB" w14:textId="29C74CA3" w:rsidR="00763BA3" w:rsidRDefault="00763BA3" w:rsidP="00763BA3">
            <w:pPr>
              <w:contextualSpacing/>
              <w:rPr>
                <w:bCs/>
              </w:rPr>
            </w:pPr>
            <w:r>
              <w:rPr>
                <w:bCs/>
              </w:rPr>
              <w:t>SR RE</w:t>
            </w:r>
          </w:p>
        </w:tc>
        <w:tc>
          <w:tcPr>
            <w:tcW w:w="1403" w:type="dxa"/>
            <w:shd w:val="clear" w:color="auto" w:fill="ADADAD" w:themeFill="background2" w:themeFillShade="BF"/>
          </w:tcPr>
          <w:p w14:paraId="46DB6ED9" w14:textId="3E6F16A1" w:rsidR="00763BA3" w:rsidRDefault="00763BA3" w:rsidP="00763BA3">
            <w:pPr>
              <w:contextualSpacing/>
              <w:rPr>
                <w:bCs/>
              </w:rPr>
            </w:pPr>
            <w:r>
              <w:rPr>
                <w:bCs/>
              </w:rPr>
              <w:t>November 2025</w:t>
            </w:r>
          </w:p>
        </w:tc>
        <w:tc>
          <w:tcPr>
            <w:tcW w:w="1273" w:type="dxa"/>
            <w:shd w:val="clear" w:color="auto" w:fill="ADADAD" w:themeFill="background2" w:themeFillShade="BF"/>
          </w:tcPr>
          <w:p w14:paraId="6B384B4D" w14:textId="754D836D" w:rsidR="00763BA3" w:rsidRDefault="00E31466" w:rsidP="00763BA3">
            <w:pPr>
              <w:contextualSpacing/>
              <w:rPr>
                <w:bCs/>
              </w:rPr>
            </w:pPr>
            <w:r>
              <w:rPr>
                <w:bCs/>
              </w:rPr>
              <w:t>Complete</w:t>
            </w:r>
          </w:p>
        </w:tc>
      </w:tr>
      <w:tr w:rsidR="00E31466" w14:paraId="2ACA510D" w14:textId="77777777" w:rsidTr="06462666">
        <w:tc>
          <w:tcPr>
            <w:tcW w:w="566" w:type="dxa"/>
            <w:shd w:val="clear" w:color="auto" w:fill="FFFFFF" w:themeFill="background1"/>
          </w:tcPr>
          <w:p w14:paraId="17294104" w14:textId="2E943717" w:rsidR="00E31466" w:rsidRDefault="00E31466" w:rsidP="00763BA3">
            <w:pPr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39" w:type="dxa"/>
            <w:shd w:val="clear" w:color="auto" w:fill="FFFFFF" w:themeFill="background1"/>
          </w:tcPr>
          <w:p w14:paraId="24AFE955" w14:textId="3B9B5F51" w:rsidR="00E31466" w:rsidRDefault="00E31466" w:rsidP="00763BA3">
            <w:pPr>
              <w:tabs>
                <w:tab w:val="left" w:pos="1510"/>
              </w:tabs>
            </w:pPr>
            <w:r>
              <w:t>SH offered to meet up with EK to share more about Hants journey to move family practitioners</w:t>
            </w:r>
          </w:p>
        </w:tc>
        <w:tc>
          <w:tcPr>
            <w:tcW w:w="1515" w:type="dxa"/>
            <w:shd w:val="clear" w:color="auto" w:fill="FFFFFF" w:themeFill="background1"/>
          </w:tcPr>
          <w:p w14:paraId="0B97222C" w14:textId="2AF70D68" w:rsidR="00E31466" w:rsidRDefault="00E31466" w:rsidP="00763BA3">
            <w:pPr>
              <w:contextualSpacing/>
              <w:rPr>
                <w:bCs/>
              </w:rPr>
            </w:pPr>
            <w:r>
              <w:rPr>
                <w:bCs/>
              </w:rPr>
              <w:t>SH EK</w:t>
            </w:r>
          </w:p>
        </w:tc>
        <w:tc>
          <w:tcPr>
            <w:tcW w:w="1403" w:type="dxa"/>
            <w:shd w:val="clear" w:color="auto" w:fill="FFFFFF" w:themeFill="background1"/>
          </w:tcPr>
          <w:p w14:paraId="40069F9E" w14:textId="6C2EF7DC" w:rsidR="00E31466" w:rsidRDefault="00E31466" w:rsidP="00763BA3">
            <w:pPr>
              <w:contextualSpacing/>
              <w:rPr>
                <w:bCs/>
              </w:rPr>
            </w:pPr>
            <w:r>
              <w:rPr>
                <w:bCs/>
              </w:rPr>
              <w:t>Dec 2025</w:t>
            </w:r>
          </w:p>
        </w:tc>
        <w:tc>
          <w:tcPr>
            <w:tcW w:w="1273" w:type="dxa"/>
            <w:shd w:val="clear" w:color="auto" w:fill="FFFFFF" w:themeFill="background1"/>
          </w:tcPr>
          <w:p w14:paraId="59263BA0" w14:textId="1909ACF7" w:rsidR="00E31466" w:rsidRDefault="00E31466" w:rsidP="00763BA3">
            <w:pPr>
              <w:contextualSpacing/>
              <w:rPr>
                <w:bCs/>
              </w:rPr>
            </w:pPr>
            <w:r>
              <w:rPr>
                <w:bCs/>
              </w:rPr>
              <w:t>Open</w:t>
            </w:r>
          </w:p>
        </w:tc>
      </w:tr>
      <w:tr w:rsidR="00E31466" w14:paraId="60E8387C" w14:textId="77777777" w:rsidTr="06462666">
        <w:tc>
          <w:tcPr>
            <w:tcW w:w="566" w:type="dxa"/>
            <w:shd w:val="clear" w:color="auto" w:fill="FFFFFF" w:themeFill="background1"/>
          </w:tcPr>
          <w:p w14:paraId="69968385" w14:textId="47CBE335" w:rsidR="00E31466" w:rsidRDefault="00E31466" w:rsidP="00E31466">
            <w:pPr>
              <w:contextualSpacing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39" w:type="dxa"/>
            <w:shd w:val="clear" w:color="auto" w:fill="FFFFFF" w:themeFill="background1"/>
          </w:tcPr>
          <w:p w14:paraId="4E407E40" w14:textId="65A7164D" w:rsidR="00E31466" w:rsidRDefault="00E31466" w:rsidP="00E31466">
            <w:pPr>
              <w:tabs>
                <w:tab w:val="left" w:pos="1510"/>
              </w:tabs>
            </w:pPr>
            <w:r>
              <w:t>SR and RE</w:t>
            </w:r>
            <w:r>
              <w:t xml:space="preserve"> to set up subgroups of the LAs with the same case management system with a focus on reforms</w:t>
            </w:r>
          </w:p>
        </w:tc>
        <w:tc>
          <w:tcPr>
            <w:tcW w:w="1515" w:type="dxa"/>
            <w:shd w:val="clear" w:color="auto" w:fill="FFFFFF" w:themeFill="background1"/>
          </w:tcPr>
          <w:p w14:paraId="1B383D89" w14:textId="74610244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SR RE</w:t>
            </w:r>
          </w:p>
        </w:tc>
        <w:tc>
          <w:tcPr>
            <w:tcW w:w="1403" w:type="dxa"/>
            <w:shd w:val="clear" w:color="auto" w:fill="FFFFFF" w:themeFill="background1"/>
          </w:tcPr>
          <w:p w14:paraId="579D73E7" w14:textId="209DAF9E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Dec 2025</w:t>
            </w:r>
          </w:p>
        </w:tc>
        <w:tc>
          <w:tcPr>
            <w:tcW w:w="1273" w:type="dxa"/>
            <w:shd w:val="clear" w:color="auto" w:fill="FFFFFF" w:themeFill="background1"/>
          </w:tcPr>
          <w:p w14:paraId="4E745B87" w14:textId="5C6704A8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Open</w:t>
            </w:r>
          </w:p>
        </w:tc>
      </w:tr>
      <w:tr w:rsidR="00E31466" w14:paraId="48784E33" w14:textId="77777777" w:rsidTr="06462666">
        <w:tc>
          <w:tcPr>
            <w:tcW w:w="566" w:type="dxa"/>
            <w:shd w:val="clear" w:color="auto" w:fill="FFFFFF" w:themeFill="background1"/>
          </w:tcPr>
          <w:p w14:paraId="40DB4BEC" w14:textId="67DE59B6" w:rsidR="00E31466" w:rsidRDefault="00E31466" w:rsidP="00E31466">
            <w:pPr>
              <w:contextualSpacing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39" w:type="dxa"/>
            <w:shd w:val="clear" w:color="auto" w:fill="FFFFFF" w:themeFill="background1"/>
          </w:tcPr>
          <w:p w14:paraId="37FC7513" w14:textId="7E7C514A" w:rsidR="00E31466" w:rsidRPr="00E31466" w:rsidRDefault="00E31466" w:rsidP="00E31466">
            <w:pPr>
              <w:tabs>
                <w:tab w:val="left" w:pos="1510"/>
              </w:tabs>
            </w:pPr>
            <w:r w:rsidRPr="00E31466">
              <w:t>Jan meeting to focus on MACPTs with Clare chamberlain, and Hants family worker model</w:t>
            </w:r>
          </w:p>
        </w:tc>
        <w:tc>
          <w:tcPr>
            <w:tcW w:w="1515" w:type="dxa"/>
            <w:shd w:val="clear" w:color="auto" w:fill="FFFFFF" w:themeFill="background1"/>
          </w:tcPr>
          <w:p w14:paraId="6B2439A9" w14:textId="73F1424C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SR RE</w:t>
            </w:r>
          </w:p>
        </w:tc>
        <w:tc>
          <w:tcPr>
            <w:tcW w:w="1403" w:type="dxa"/>
            <w:shd w:val="clear" w:color="auto" w:fill="FFFFFF" w:themeFill="background1"/>
          </w:tcPr>
          <w:p w14:paraId="67C4E77A" w14:textId="0989404B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Dec 2025</w:t>
            </w:r>
          </w:p>
        </w:tc>
        <w:tc>
          <w:tcPr>
            <w:tcW w:w="1273" w:type="dxa"/>
            <w:shd w:val="clear" w:color="auto" w:fill="FFFFFF" w:themeFill="background1"/>
          </w:tcPr>
          <w:p w14:paraId="07F1207F" w14:textId="71743943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Open</w:t>
            </w:r>
          </w:p>
        </w:tc>
      </w:tr>
      <w:tr w:rsidR="00E31466" w14:paraId="791E4C72" w14:textId="77777777" w:rsidTr="06462666">
        <w:tc>
          <w:tcPr>
            <w:tcW w:w="566" w:type="dxa"/>
            <w:shd w:val="clear" w:color="auto" w:fill="FFFFFF" w:themeFill="background1"/>
          </w:tcPr>
          <w:p w14:paraId="15EA1B37" w14:textId="33D8BF06" w:rsidR="00E31466" w:rsidRDefault="00E31466" w:rsidP="00E31466">
            <w:pPr>
              <w:contextualSpacing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39" w:type="dxa"/>
            <w:shd w:val="clear" w:color="auto" w:fill="FFFFFF" w:themeFill="background1"/>
          </w:tcPr>
          <w:p w14:paraId="5122C015" w14:textId="496EB70E" w:rsidR="00E31466" w:rsidRPr="00E31466" w:rsidRDefault="00E31466" w:rsidP="00E31466">
            <w:r>
              <w:t>future item on sharing content from DfE meetings</w:t>
            </w:r>
            <w:r>
              <w:t xml:space="preserve">. Consider whether to invite Jamie (DfE) to </w:t>
            </w:r>
            <w:proofErr w:type="gramStart"/>
            <w:r>
              <w:t>this  meeting</w:t>
            </w:r>
            <w:proofErr w:type="gramEnd"/>
            <w:r>
              <w:t xml:space="preserve"> in Spring </w:t>
            </w:r>
          </w:p>
        </w:tc>
        <w:tc>
          <w:tcPr>
            <w:tcW w:w="1515" w:type="dxa"/>
            <w:shd w:val="clear" w:color="auto" w:fill="FFFFFF" w:themeFill="background1"/>
          </w:tcPr>
          <w:p w14:paraId="3D2FBAD3" w14:textId="6937050E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SR RE</w:t>
            </w:r>
          </w:p>
        </w:tc>
        <w:tc>
          <w:tcPr>
            <w:tcW w:w="1403" w:type="dxa"/>
            <w:shd w:val="clear" w:color="auto" w:fill="FFFFFF" w:themeFill="background1"/>
          </w:tcPr>
          <w:p w14:paraId="6B1EF848" w14:textId="7EC9E3EA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Dec 2025</w:t>
            </w:r>
          </w:p>
        </w:tc>
        <w:tc>
          <w:tcPr>
            <w:tcW w:w="1273" w:type="dxa"/>
            <w:shd w:val="clear" w:color="auto" w:fill="FFFFFF" w:themeFill="background1"/>
          </w:tcPr>
          <w:p w14:paraId="1E27D4E0" w14:textId="2239958D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Open</w:t>
            </w:r>
          </w:p>
        </w:tc>
      </w:tr>
      <w:tr w:rsidR="00E31466" w14:paraId="6B03BC6D" w14:textId="77777777" w:rsidTr="06462666">
        <w:tc>
          <w:tcPr>
            <w:tcW w:w="566" w:type="dxa"/>
            <w:shd w:val="clear" w:color="auto" w:fill="FFFFFF" w:themeFill="background1"/>
          </w:tcPr>
          <w:p w14:paraId="3EBC4009" w14:textId="316D4EA4" w:rsidR="00E31466" w:rsidRDefault="00E31466" w:rsidP="00E31466">
            <w:pPr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839" w:type="dxa"/>
            <w:shd w:val="clear" w:color="auto" w:fill="FFFFFF" w:themeFill="background1"/>
          </w:tcPr>
          <w:p w14:paraId="56F16206" w14:textId="1C978A00" w:rsidR="00E31466" w:rsidRDefault="00E31466" w:rsidP="00E31466">
            <w:pPr>
              <w:rPr>
                <w:b/>
                <w:bCs/>
              </w:rPr>
            </w:pPr>
            <w:r>
              <w:t>All to submit DfE delivery plan part two to SR and RE to present back to the group</w:t>
            </w:r>
          </w:p>
        </w:tc>
        <w:tc>
          <w:tcPr>
            <w:tcW w:w="1515" w:type="dxa"/>
            <w:shd w:val="clear" w:color="auto" w:fill="FFFFFF" w:themeFill="background1"/>
          </w:tcPr>
          <w:p w14:paraId="054A6855" w14:textId="5AA926B0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All</w:t>
            </w:r>
          </w:p>
        </w:tc>
        <w:tc>
          <w:tcPr>
            <w:tcW w:w="1403" w:type="dxa"/>
            <w:shd w:val="clear" w:color="auto" w:fill="FFFFFF" w:themeFill="background1"/>
          </w:tcPr>
          <w:p w14:paraId="12914ACA" w14:textId="3462C503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Dec 2025</w:t>
            </w:r>
          </w:p>
        </w:tc>
        <w:tc>
          <w:tcPr>
            <w:tcW w:w="1273" w:type="dxa"/>
            <w:shd w:val="clear" w:color="auto" w:fill="FFFFFF" w:themeFill="background1"/>
          </w:tcPr>
          <w:p w14:paraId="6AEEECEA" w14:textId="4C2CDA7B" w:rsidR="00E31466" w:rsidRDefault="00E31466" w:rsidP="00E31466">
            <w:pPr>
              <w:contextualSpacing/>
              <w:rPr>
                <w:bCs/>
              </w:rPr>
            </w:pPr>
            <w:r>
              <w:rPr>
                <w:bCs/>
              </w:rPr>
              <w:t>Open</w:t>
            </w:r>
          </w:p>
        </w:tc>
      </w:tr>
    </w:tbl>
    <w:p w14:paraId="28F0B502" w14:textId="296A0BED" w:rsidR="0072434E" w:rsidRPr="00BC65C1" w:rsidRDefault="0072434E" w:rsidP="005F0AD6"/>
    <w:sectPr w:rsidR="0072434E" w:rsidRPr="00BC65C1" w:rsidSect="00346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AB6"/>
    <w:multiLevelType w:val="hybridMultilevel"/>
    <w:tmpl w:val="4A14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60B"/>
    <w:multiLevelType w:val="hybridMultilevel"/>
    <w:tmpl w:val="96222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A3DC9"/>
    <w:multiLevelType w:val="hybridMultilevel"/>
    <w:tmpl w:val="21C25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2819"/>
    <w:multiLevelType w:val="hybridMultilevel"/>
    <w:tmpl w:val="1D023738"/>
    <w:lvl w:ilvl="0" w:tplc="B680D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4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CD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66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A4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80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C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D63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F24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6D523C"/>
    <w:multiLevelType w:val="hybridMultilevel"/>
    <w:tmpl w:val="FD46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57482"/>
    <w:multiLevelType w:val="hybridMultilevel"/>
    <w:tmpl w:val="EBCA4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F0FE7"/>
    <w:multiLevelType w:val="hybridMultilevel"/>
    <w:tmpl w:val="9B4EA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045FB"/>
    <w:multiLevelType w:val="hybridMultilevel"/>
    <w:tmpl w:val="E62A7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136C9"/>
    <w:multiLevelType w:val="hybridMultilevel"/>
    <w:tmpl w:val="E6C009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E4216B"/>
    <w:multiLevelType w:val="hybridMultilevel"/>
    <w:tmpl w:val="801A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250B4"/>
    <w:multiLevelType w:val="hybridMultilevel"/>
    <w:tmpl w:val="9A1ED9AE"/>
    <w:lvl w:ilvl="0" w:tplc="8D6E1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00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4C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65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C4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26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C6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E0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01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3E03F0"/>
    <w:multiLevelType w:val="hybridMultilevel"/>
    <w:tmpl w:val="78C82592"/>
    <w:lvl w:ilvl="0" w:tplc="B254A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680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29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620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6B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9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A5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A4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AD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1C68B0"/>
    <w:multiLevelType w:val="hybridMultilevel"/>
    <w:tmpl w:val="D94E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42E6C"/>
    <w:multiLevelType w:val="hybridMultilevel"/>
    <w:tmpl w:val="342C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16431">
    <w:abstractNumId w:val="2"/>
  </w:num>
  <w:num w:numId="2" w16cid:durableId="1072770943">
    <w:abstractNumId w:val="7"/>
  </w:num>
  <w:num w:numId="3" w16cid:durableId="1404524661">
    <w:abstractNumId w:val="3"/>
  </w:num>
  <w:num w:numId="4" w16cid:durableId="76944295">
    <w:abstractNumId w:val="11"/>
  </w:num>
  <w:num w:numId="5" w16cid:durableId="2027903824">
    <w:abstractNumId w:val="6"/>
  </w:num>
  <w:num w:numId="6" w16cid:durableId="1665427198">
    <w:abstractNumId w:val="13"/>
  </w:num>
  <w:num w:numId="7" w16cid:durableId="1218273634">
    <w:abstractNumId w:val="4"/>
  </w:num>
  <w:num w:numId="8" w16cid:durableId="1099792380">
    <w:abstractNumId w:val="8"/>
  </w:num>
  <w:num w:numId="9" w16cid:durableId="1052389277">
    <w:abstractNumId w:val="12"/>
  </w:num>
  <w:num w:numId="10" w16cid:durableId="1726905322">
    <w:abstractNumId w:val="1"/>
  </w:num>
  <w:num w:numId="11" w16cid:durableId="1854027165">
    <w:abstractNumId w:val="0"/>
  </w:num>
  <w:num w:numId="12" w16cid:durableId="548148461">
    <w:abstractNumId w:val="10"/>
  </w:num>
  <w:num w:numId="13" w16cid:durableId="1257056520">
    <w:abstractNumId w:val="5"/>
  </w:num>
  <w:num w:numId="14" w16cid:durableId="1416318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016D4C"/>
    <w:rsid w:val="000202BB"/>
    <w:rsid w:val="000315B2"/>
    <w:rsid w:val="00035575"/>
    <w:rsid w:val="0004505C"/>
    <w:rsid w:val="00093DD1"/>
    <w:rsid w:val="000A5084"/>
    <w:rsid w:val="000C3779"/>
    <w:rsid w:val="000C6848"/>
    <w:rsid w:val="000D3B35"/>
    <w:rsid w:val="000E1970"/>
    <w:rsid w:val="000E3723"/>
    <w:rsid w:val="000F3A8F"/>
    <w:rsid w:val="00145D38"/>
    <w:rsid w:val="00173F38"/>
    <w:rsid w:val="001751DF"/>
    <w:rsid w:val="001768A2"/>
    <w:rsid w:val="00180964"/>
    <w:rsid w:val="001854DE"/>
    <w:rsid w:val="001B15E6"/>
    <w:rsid w:val="001B2532"/>
    <w:rsid w:val="001C0FB9"/>
    <w:rsid w:val="001D2827"/>
    <w:rsid w:val="001D60F3"/>
    <w:rsid w:val="001E45A3"/>
    <w:rsid w:val="001F0F8E"/>
    <w:rsid w:val="001F6F60"/>
    <w:rsid w:val="00204E4A"/>
    <w:rsid w:val="00223033"/>
    <w:rsid w:val="00267377"/>
    <w:rsid w:val="002722FC"/>
    <w:rsid w:val="0027714F"/>
    <w:rsid w:val="0029297A"/>
    <w:rsid w:val="00293DAA"/>
    <w:rsid w:val="00294F79"/>
    <w:rsid w:val="002A66CB"/>
    <w:rsid w:val="002B241C"/>
    <w:rsid w:val="002B7546"/>
    <w:rsid w:val="002C1A92"/>
    <w:rsid w:val="002E7BFC"/>
    <w:rsid w:val="002F44FA"/>
    <w:rsid w:val="002F71C3"/>
    <w:rsid w:val="00303004"/>
    <w:rsid w:val="003077E2"/>
    <w:rsid w:val="00307B07"/>
    <w:rsid w:val="003102F7"/>
    <w:rsid w:val="00346AA8"/>
    <w:rsid w:val="00354A97"/>
    <w:rsid w:val="00356E15"/>
    <w:rsid w:val="00360E29"/>
    <w:rsid w:val="0036508B"/>
    <w:rsid w:val="00380902"/>
    <w:rsid w:val="00383327"/>
    <w:rsid w:val="003849F0"/>
    <w:rsid w:val="00386857"/>
    <w:rsid w:val="0039616A"/>
    <w:rsid w:val="003C695F"/>
    <w:rsid w:val="003D1EF9"/>
    <w:rsid w:val="003D4169"/>
    <w:rsid w:val="003D79F4"/>
    <w:rsid w:val="003E52FC"/>
    <w:rsid w:val="003F05BE"/>
    <w:rsid w:val="004239B1"/>
    <w:rsid w:val="00426B03"/>
    <w:rsid w:val="004320DB"/>
    <w:rsid w:val="004477C4"/>
    <w:rsid w:val="00457FEC"/>
    <w:rsid w:val="00496C73"/>
    <w:rsid w:val="004B26E2"/>
    <w:rsid w:val="004C7EDC"/>
    <w:rsid w:val="004D2F7E"/>
    <w:rsid w:val="004E5D68"/>
    <w:rsid w:val="004F1EAD"/>
    <w:rsid w:val="004F7FA2"/>
    <w:rsid w:val="00506DCD"/>
    <w:rsid w:val="00522B8C"/>
    <w:rsid w:val="0052581B"/>
    <w:rsid w:val="00542694"/>
    <w:rsid w:val="005503DE"/>
    <w:rsid w:val="005535AD"/>
    <w:rsid w:val="00553C25"/>
    <w:rsid w:val="005724A7"/>
    <w:rsid w:val="00583B10"/>
    <w:rsid w:val="00590214"/>
    <w:rsid w:val="00592927"/>
    <w:rsid w:val="005B1A3C"/>
    <w:rsid w:val="005C3741"/>
    <w:rsid w:val="005D1FC0"/>
    <w:rsid w:val="005D3118"/>
    <w:rsid w:val="005F0586"/>
    <w:rsid w:val="005F0AD6"/>
    <w:rsid w:val="00603AAE"/>
    <w:rsid w:val="006115BD"/>
    <w:rsid w:val="00617AE5"/>
    <w:rsid w:val="00617B53"/>
    <w:rsid w:val="006412CC"/>
    <w:rsid w:val="00656861"/>
    <w:rsid w:val="006B12C2"/>
    <w:rsid w:val="006C2426"/>
    <w:rsid w:val="006F0DD9"/>
    <w:rsid w:val="006F2D4F"/>
    <w:rsid w:val="006F3EBF"/>
    <w:rsid w:val="006F4F3D"/>
    <w:rsid w:val="006F7878"/>
    <w:rsid w:val="00700C7D"/>
    <w:rsid w:val="00721B8D"/>
    <w:rsid w:val="00723D8D"/>
    <w:rsid w:val="00724130"/>
    <w:rsid w:val="0072434E"/>
    <w:rsid w:val="007247A8"/>
    <w:rsid w:val="00750975"/>
    <w:rsid w:val="00760062"/>
    <w:rsid w:val="00763BA3"/>
    <w:rsid w:val="007841C5"/>
    <w:rsid w:val="0078658A"/>
    <w:rsid w:val="00796C80"/>
    <w:rsid w:val="007A14CF"/>
    <w:rsid w:val="00820314"/>
    <w:rsid w:val="00823D2C"/>
    <w:rsid w:val="008340FE"/>
    <w:rsid w:val="008419B8"/>
    <w:rsid w:val="00855BEC"/>
    <w:rsid w:val="008561CD"/>
    <w:rsid w:val="00857DC8"/>
    <w:rsid w:val="00857F10"/>
    <w:rsid w:val="008642AF"/>
    <w:rsid w:val="00865814"/>
    <w:rsid w:val="00870112"/>
    <w:rsid w:val="00873558"/>
    <w:rsid w:val="00881D71"/>
    <w:rsid w:val="00892C48"/>
    <w:rsid w:val="008B52C4"/>
    <w:rsid w:val="008C593C"/>
    <w:rsid w:val="008E14BA"/>
    <w:rsid w:val="008E3544"/>
    <w:rsid w:val="008E7C21"/>
    <w:rsid w:val="00902A5B"/>
    <w:rsid w:val="00904B96"/>
    <w:rsid w:val="00915225"/>
    <w:rsid w:val="00921EE5"/>
    <w:rsid w:val="0095174A"/>
    <w:rsid w:val="00952242"/>
    <w:rsid w:val="00965EDE"/>
    <w:rsid w:val="0097032E"/>
    <w:rsid w:val="00970754"/>
    <w:rsid w:val="009B331D"/>
    <w:rsid w:val="009D2C07"/>
    <w:rsid w:val="009D5B0C"/>
    <w:rsid w:val="009D616F"/>
    <w:rsid w:val="009E7FE7"/>
    <w:rsid w:val="00A06B4F"/>
    <w:rsid w:val="00A21D34"/>
    <w:rsid w:val="00A21E12"/>
    <w:rsid w:val="00A32902"/>
    <w:rsid w:val="00A41048"/>
    <w:rsid w:val="00A43114"/>
    <w:rsid w:val="00A45C5E"/>
    <w:rsid w:val="00AA4B18"/>
    <w:rsid w:val="00AB5D0A"/>
    <w:rsid w:val="00AD76E1"/>
    <w:rsid w:val="00B075CD"/>
    <w:rsid w:val="00B10057"/>
    <w:rsid w:val="00B13D0F"/>
    <w:rsid w:val="00B310E4"/>
    <w:rsid w:val="00B50F4D"/>
    <w:rsid w:val="00B52391"/>
    <w:rsid w:val="00B634A0"/>
    <w:rsid w:val="00B635FC"/>
    <w:rsid w:val="00B6715B"/>
    <w:rsid w:val="00B81C13"/>
    <w:rsid w:val="00B83AE6"/>
    <w:rsid w:val="00BA6B8C"/>
    <w:rsid w:val="00BC52BB"/>
    <w:rsid w:val="00BC65C1"/>
    <w:rsid w:val="00BE16FB"/>
    <w:rsid w:val="00BE2837"/>
    <w:rsid w:val="00BF6D80"/>
    <w:rsid w:val="00C03EAA"/>
    <w:rsid w:val="00C367A4"/>
    <w:rsid w:val="00C4315E"/>
    <w:rsid w:val="00C56550"/>
    <w:rsid w:val="00C91CF3"/>
    <w:rsid w:val="00CB7D42"/>
    <w:rsid w:val="00CD222A"/>
    <w:rsid w:val="00CE303F"/>
    <w:rsid w:val="00CF562E"/>
    <w:rsid w:val="00D12247"/>
    <w:rsid w:val="00D2306B"/>
    <w:rsid w:val="00D2693E"/>
    <w:rsid w:val="00D40C87"/>
    <w:rsid w:val="00D44D86"/>
    <w:rsid w:val="00D51E33"/>
    <w:rsid w:val="00D5363D"/>
    <w:rsid w:val="00D618A8"/>
    <w:rsid w:val="00D62B95"/>
    <w:rsid w:val="00D6522E"/>
    <w:rsid w:val="00D9212A"/>
    <w:rsid w:val="00D93F9B"/>
    <w:rsid w:val="00D96815"/>
    <w:rsid w:val="00DA1723"/>
    <w:rsid w:val="00DA3A7A"/>
    <w:rsid w:val="00DA47DD"/>
    <w:rsid w:val="00DB00B9"/>
    <w:rsid w:val="00DB0BBA"/>
    <w:rsid w:val="00DB1342"/>
    <w:rsid w:val="00DC2156"/>
    <w:rsid w:val="00DD1E61"/>
    <w:rsid w:val="00DE2D89"/>
    <w:rsid w:val="00DE59B6"/>
    <w:rsid w:val="00DF0900"/>
    <w:rsid w:val="00DF5DDA"/>
    <w:rsid w:val="00E10E93"/>
    <w:rsid w:val="00E15910"/>
    <w:rsid w:val="00E247EB"/>
    <w:rsid w:val="00E31466"/>
    <w:rsid w:val="00E40828"/>
    <w:rsid w:val="00E42A1C"/>
    <w:rsid w:val="00E57524"/>
    <w:rsid w:val="00E649EE"/>
    <w:rsid w:val="00E7700B"/>
    <w:rsid w:val="00E9203C"/>
    <w:rsid w:val="00E972F2"/>
    <w:rsid w:val="00EA548F"/>
    <w:rsid w:val="00ED41D7"/>
    <w:rsid w:val="00EE11C6"/>
    <w:rsid w:val="00EE3CB0"/>
    <w:rsid w:val="00EF1F55"/>
    <w:rsid w:val="00EF232A"/>
    <w:rsid w:val="00EF56FD"/>
    <w:rsid w:val="00F03D2E"/>
    <w:rsid w:val="00F04FFF"/>
    <w:rsid w:val="00F321C5"/>
    <w:rsid w:val="00F60018"/>
    <w:rsid w:val="00F668EA"/>
    <w:rsid w:val="00F703C2"/>
    <w:rsid w:val="00F73F31"/>
    <w:rsid w:val="00F8005D"/>
    <w:rsid w:val="00F87A56"/>
    <w:rsid w:val="00F966DB"/>
    <w:rsid w:val="00F97C60"/>
    <w:rsid w:val="00FA7B9B"/>
    <w:rsid w:val="00FC1B7B"/>
    <w:rsid w:val="00FC799D"/>
    <w:rsid w:val="00FE7D0C"/>
    <w:rsid w:val="00FF29AF"/>
    <w:rsid w:val="00FF2A9D"/>
    <w:rsid w:val="00FF485C"/>
    <w:rsid w:val="06462666"/>
    <w:rsid w:val="3CCEC9E1"/>
    <w:rsid w:val="4F2EE1D6"/>
    <w:rsid w:val="5A25F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36EC"/>
  <w15:chartTrackingRefBased/>
  <w15:docId w15:val="{C0848351-B93B-497D-97A6-FC976772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66"/>
  </w:style>
  <w:style w:type="paragraph" w:styleId="Heading1">
    <w:name w:val="heading 1"/>
    <w:basedOn w:val="Normal"/>
    <w:next w:val="Normal"/>
    <w:link w:val="Heading1Char"/>
    <w:uiPriority w:val="9"/>
    <w:qFormat/>
    <w:rsid w:val="00A4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C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5B0C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DA1723"/>
  </w:style>
  <w:style w:type="table" w:styleId="TableGrid">
    <w:name w:val="Table Grid"/>
    <w:basedOn w:val="TableNormal"/>
    <w:uiPriority w:val="39"/>
    <w:rsid w:val="00DA17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9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eslip.co.uk/project-28-piloting-kinship-rea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1628</Words>
  <Characters>8404</Characters>
  <Application>Microsoft Office Word</Application>
  <DocSecurity>0</DocSecurity>
  <Lines>254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Eligon, Rebecca</dc:creator>
  <cp:keywords/>
  <dc:description/>
  <cp:lastModifiedBy>Rebecca Eligon</cp:lastModifiedBy>
  <cp:revision>3</cp:revision>
  <dcterms:created xsi:type="dcterms:W3CDTF">2025-12-19T09:57:00Z</dcterms:created>
  <dcterms:modified xsi:type="dcterms:W3CDTF">2025-12-19T17:13:00Z</dcterms:modified>
</cp:coreProperties>
</file>