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0C30" w14:textId="031DD081" w:rsidR="001D60F3" w:rsidRPr="001D60F3" w:rsidRDefault="00AA4B18" w:rsidP="001D60F3">
      <w:pPr>
        <w:pStyle w:val="Heading1"/>
        <w:rPr>
          <w:rFonts w:ascii="Raleway" w:hAnsi="Raleway"/>
          <w:color w:val="7030A0"/>
        </w:rPr>
      </w:pPr>
      <w:proofErr w:type="gramStart"/>
      <w:r>
        <w:rPr>
          <w:rFonts w:ascii="Raleway" w:hAnsi="Raleway"/>
          <w:color w:val="7030A0"/>
        </w:rPr>
        <w:t>South East</w:t>
      </w:r>
      <w:proofErr w:type="gramEnd"/>
      <w:r>
        <w:rPr>
          <w:rFonts w:ascii="Raleway" w:hAnsi="Raleway"/>
          <w:color w:val="7030A0"/>
        </w:rPr>
        <w:t xml:space="preserve"> Transformation Network</w:t>
      </w:r>
      <w:r>
        <w:rPr>
          <w:rFonts w:ascii="Raleway" w:hAnsi="Raleway"/>
          <w:color w:val="7030A0"/>
        </w:rPr>
        <w:br/>
      </w:r>
      <w:r w:rsidR="001D60F3" w:rsidRPr="001D60F3">
        <w:rPr>
          <w:rFonts w:ascii="Raleway" w:hAnsi="Raleway"/>
          <w:color w:val="7030A0"/>
        </w:rPr>
        <w:t xml:space="preserve">meeting notes and action log </w:t>
      </w:r>
      <w:r w:rsidR="000D1BA2">
        <w:rPr>
          <w:rFonts w:ascii="Raleway" w:hAnsi="Raleway"/>
          <w:color w:val="7030A0"/>
        </w:rPr>
        <w:t>January 2026</w:t>
      </w:r>
    </w:p>
    <w:p w14:paraId="425A6B35" w14:textId="5D57EA72" w:rsidR="003D79F4" w:rsidRDefault="003D79F4"/>
    <w:p w14:paraId="188FB07F" w14:textId="0AE54CA8" w:rsidR="00DB0BBA" w:rsidRPr="00093DD1" w:rsidRDefault="00DB0BBA">
      <w:r>
        <w:rPr>
          <w:b/>
          <w:bCs/>
        </w:rPr>
        <w:t>Date:</w:t>
      </w:r>
      <w:r w:rsidR="00093DD1">
        <w:rPr>
          <w:b/>
          <w:bCs/>
        </w:rPr>
        <w:t xml:space="preserve"> </w:t>
      </w:r>
      <w:r w:rsidR="00093DD1">
        <w:t xml:space="preserve"> </w:t>
      </w:r>
      <w:r w:rsidR="000D1BA2">
        <w:t xml:space="preserve">27 </w:t>
      </w:r>
      <w:r w:rsidR="00757CB7">
        <w:t>J</w:t>
      </w:r>
      <w:r w:rsidR="000D1BA2">
        <w:t>anuary 2026 10.30-12</w:t>
      </w:r>
    </w:p>
    <w:p w14:paraId="4594DEA9" w14:textId="2AEC42D5" w:rsidR="001D60F3" w:rsidRDefault="001D60F3">
      <w:r>
        <w:rPr>
          <w:b/>
          <w:bCs/>
        </w:rPr>
        <w:t xml:space="preserve">Chair: </w:t>
      </w:r>
      <w:r w:rsidR="0036508B">
        <w:t>Steph How (Chair, Hants),</w:t>
      </w:r>
      <w:r w:rsidR="000D1BA2">
        <w:t xml:space="preserve"> </w:t>
      </w:r>
    </w:p>
    <w:p w14:paraId="655262E6" w14:textId="4442C776" w:rsidR="000D1BA2" w:rsidRDefault="001D60F3">
      <w:pPr>
        <w:rPr>
          <w:b/>
          <w:bCs/>
        </w:rPr>
      </w:pPr>
      <w:r>
        <w:rPr>
          <w:b/>
          <w:bCs/>
        </w:rPr>
        <w:t xml:space="preserve">Attendees: </w:t>
      </w:r>
      <w:r w:rsidR="000D1BA2" w:rsidRPr="000D1BA2">
        <w:t>Clare Chamberlain (independent facilitator ex-DCS</w:t>
      </w:r>
      <w:r w:rsidR="000D1BA2">
        <w:t xml:space="preserve">, working with </w:t>
      </w:r>
      <w:r w:rsidR="00757CB7">
        <w:t>M</w:t>
      </w:r>
      <w:r w:rsidR="000D1BA2">
        <w:t xml:space="preserve">utual </w:t>
      </w:r>
      <w:r w:rsidR="00757CB7">
        <w:t>V</w:t>
      </w:r>
      <w:r w:rsidR="000D1BA2">
        <w:t>entures</w:t>
      </w:r>
      <w:r w:rsidR="000D1BA2" w:rsidRPr="000D1BA2">
        <w:t>)</w:t>
      </w:r>
      <w:r w:rsidR="000D1BA2">
        <w:t>, Adam Thomas (Surrey), Anita Stanbury (west berks), Dan Buckle (Southampton), James Carter (Oxfordshire), Anna Clarke (IoW), Deborah Ennes (East Sussex), Teresa Devito (Medway), Ingrid Crisnan (Kent), Kirsty Morris Sellley, Hannah Leat</w:t>
      </w:r>
      <w:r w:rsidR="00757CB7">
        <w:t xml:space="preserve"> </w:t>
      </w:r>
      <w:r w:rsidR="000D1BA2">
        <w:t>(Hampshire), Marie Foley (West Sussex), Steph Murrey, Natalie Bugeja (Achieving for Children), Nicola Mc</w:t>
      </w:r>
      <w:r w:rsidR="000B7B0F">
        <w:t>Geo</w:t>
      </w:r>
      <w:r w:rsidR="000D1BA2">
        <w:t xml:space="preserve">wn (East Sussex), Priscilla </w:t>
      </w:r>
      <w:r w:rsidR="00757CB7">
        <w:t xml:space="preserve">Kurewa </w:t>
      </w:r>
      <w:r w:rsidR="000D1BA2">
        <w:t>(Bracknell Forest), Rebecca Walsh (west Sussex), Richenda Polson (Kent), Michelle Sanders (Portsmouth), Sam Taylor (Hampshire), Tom Stibbs (Brighton and Hove), Luke Varndell (Portsmouth), Victoria Gibbs (Slough)</w:t>
      </w:r>
      <w:r w:rsidR="00676373">
        <w:t>, Bosede Lawal</w:t>
      </w:r>
      <w:r w:rsidR="00F643D0">
        <w:t xml:space="preserve"> (Surrey)</w:t>
      </w:r>
      <w:r w:rsidR="00676373">
        <w:t>, Estelle Kelleway (Wokingham)</w:t>
      </w:r>
      <w:r w:rsidR="008A2348">
        <w:t xml:space="preserve">, </w:t>
      </w:r>
      <w:r w:rsidR="00F643D0">
        <w:rPr>
          <w:rFonts w:cstheme="majorHAnsi"/>
        </w:rPr>
        <w:t>Edwina Gregory-Johnson (Achieving for Children)</w:t>
      </w:r>
      <w:r w:rsidR="00757CB7">
        <w:t xml:space="preserve">, Anna Clarke (IoW), </w:t>
      </w:r>
      <w:r w:rsidR="00757CB7">
        <w:t>Selina Rattu (SESLIP support), Rebecca Eligon (SESLIP support)</w:t>
      </w:r>
    </w:p>
    <w:p w14:paraId="28C52CDF" w14:textId="267C5CFE" w:rsidR="006115BD" w:rsidRPr="00F643D0" w:rsidRDefault="00757CB7" w:rsidP="00AA4B18">
      <w:r>
        <w:rPr>
          <w:b/>
          <w:bCs/>
        </w:rPr>
        <w:t>Apologies</w:t>
      </w:r>
      <w:r w:rsidR="000D1BA2">
        <w:t xml:space="preserve">: </w:t>
      </w:r>
      <w:r w:rsidR="0036508B">
        <w:t>Janet Jones (Surrey),</w:t>
      </w:r>
      <w:r w:rsidR="0036508B">
        <w:rPr>
          <w:rFonts w:cstheme="majorHAnsi"/>
        </w:rPr>
        <w:t xml:space="preserve"> Collette Visagie (West Sussex),</w:t>
      </w:r>
      <w:r w:rsidR="002F71C3">
        <w:rPr>
          <w:rFonts w:cstheme="majorHAnsi"/>
        </w:rPr>
        <w:t xml:space="preserve"> </w:t>
      </w:r>
      <w:r w:rsidR="002F71C3">
        <w:t>Andrea King (Reading)</w:t>
      </w:r>
      <w:r>
        <w:t>,</w:t>
      </w:r>
      <w:r w:rsidR="002F71C3">
        <w:rPr>
          <w:rFonts w:cstheme="majorHAnsi"/>
        </w:rPr>
        <w:t xml:space="preserve"> </w:t>
      </w:r>
      <w:r w:rsidR="002F71C3">
        <w:t xml:space="preserve">Keith Langley (West Berks), Ananda Bodenstein (West Berks), Laura Travett, </w:t>
      </w:r>
      <w:r w:rsidR="0036508B">
        <w:t>Stuart Ashley (Hants)</w:t>
      </w:r>
      <w:r w:rsidR="00E9203C">
        <w:rPr>
          <w:rFonts w:cstheme="majorHAnsi"/>
        </w:rPr>
        <w:t>, Hayley Rees (Wokingham)</w:t>
      </w:r>
      <w:r w:rsidR="00F668EA">
        <w:t xml:space="preserve">, Jonny Bradish (Brighter Futures, Reading), Wendy Evans (Milton Keynes), </w:t>
      </w:r>
      <w:r w:rsidR="00F668EA">
        <w:rPr>
          <w:rFonts w:cstheme="majorHAnsi"/>
        </w:rPr>
        <w:t xml:space="preserve">Sarah Moran (Achieving for Children), </w:t>
      </w:r>
      <w:r w:rsidR="0036508B">
        <w:t>Alison Munt (Bucks), Dora Gouveia Schofield (West Berks), Jenny Thomas  (Milton Keynes), Errol Albert (Bucks)</w:t>
      </w:r>
      <w:r w:rsidR="0036508B">
        <w:rPr>
          <w:rFonts w:cstheme="majorHAnsi"/>
        </w:rPr>
        <w:t xml:space="preserve">, </w:t>
      </w:r>
      <w:r w:rsidR="0036508B">
        <w:t xml:space="preserve"> </w:t>
      </w:r>
      <w:r w:rsidR="0036508B">
        <w:rPr>
          <w:rFonts w:cstheme="majorHAnsi"/>
        </w:rPr>
        <w:t>Kirsty Morris-Selley (Milton Keynes),</w:t>
      </w:r>
      <w:r w:rsidR="0036508B">
        <w:t xml:space="preserve"> Kay Jones (Isle of Wight), Richenda Polson (Kent), </w:t>
      </w:r>
    </w:p>
    <w:p w14:paraId="68778773" w14:textId="280BC1C0" w:rsidR="00F643D0" w:rsidRDefault="00F643D0" w:rsidP="000D1BA2">
      <w:pPr>
        <w:rPr>
          <w:b/>
          <w:bCs/>
        </w:rPr>
      </w:pPr>
      <w:r>
        <w:rPr>
          <w:b/>
          <w:bCs/>
        </w:rPr>
        <w:t xml:space="preserve">Introduction: </w:t>
      </w:r>
      <w:r>
        <w:t>SH opened and explained that</w:t>
      </w:r>
      <w:r>
        <w:t xml:space="preserve"> she would be taking over as chair as Stuart Ashley the previous chair and DCS for Hants is retiring. </w:t>
      </w:r>
    </w:p>
    <w:p w14:paraId="6670F5C5" w14:textId="3CB0DF69" w:rsidR="000D1BA2" w:rsidRDefault="00AA4B18" w:rsidP="000D1BA2">
      <w:pPr>
        <w:rPr>
          <w:b/>
          <w:bCs/>
        </w:rPr>
      </w:pPr>
      <w:r>
        <w:rPr>
          <w:b/>
          <w:bCs/>
        </w:rPr>
        <w:t>Item 1</w:t>
      </w:r>
      <w:r w:rsidR="00DB0BBA">
        <w:rPr>
          <w:b/>
          <w:bCs/>
        </w:rPr>
        <w:t>:</w:t>
      </w:r>
      <w:r w:rsidR="001C0FB9">
        <w:t xml:space="preserve"> </w:t>
      </w:r>
      <w:r w:rsidR="000D1BA2">
        <w:rPr>
          <w:b/>
          <w:bCs/>
        </w:rPr>
        <w:t>MACPT themed discussion</w:t>
      </w:r>
    </w:p>
    <w:p w14:paraId="77254C05" w14:textId="7894D7C9" w:rsidR="000D1BA2" w:rsidRDefault="00F643D0" w:rsidP="000D1BA2">
      <w:r>
        <w:t xml:space="preserve">SH reflected on </w:t>
      </w:r>
      <w:r w:rsidR="000D1BA2">
        <w:t xml:space="preserve">the discussions we have been having in this meeting, and the subsequent changes and elements </w:t>
      </w:r>
      <w:r>
        <w:t xml:space="preserve">relating to MACPTs which are </w:t>
      </w:r>
      <w:r w:rsidR="000D1BA2">
        <w:t>on hold, we believe due to some of the feedback</w:t>
      </w:r>
      <w:r>
        <w:t xml:space="preserve"> from this group</w:t>
      </w:r>
      <w:r w:rsidR="000D1BA2">
        <w:t xml:space="preserve">.  We have been raising our concerns in our individual calls </w:t>
      </w:r>
      <w:r>
        <w:t xml:space="preserve">with the DfE </w:t>
      </w:r>
      <w:r w:rsidR="000D1BA2">
        <w:t xml:space="preserve">and had some helpful calls with Jamie from DfE. </w:t>
      </w:r>
    </w:p>
    <w:p w14:paraId="6984A233" w14:textId="2DC2339A" w:rsidR="00C842CE" w:rsidRDefault="00C842CE" w:rsidP="000D1BA2">
      <w:r>
        <w:t xml:space="preserve">CC said her reflection is that </w:t>
      </w:r>
      <w:r w:rsidR="00F643D0">
        <w:t xml:space="preserve">MACPTs </w:t>
      </w:r>
      <w:r>
        <w:t>have struggled to get going in some places.  CC assured that she isn’t here on behalf of DfE, CC reflected on the most important themes from the Mc</w:t>
      </w:r>
      <w:r w:rsidR="00F643D0">
        <w:t>A</w:t>
      </w:r>
      <w:r>
        <w:t>l</w:t>
      </w:r>
      <w:r w:rsidR="00F643D0">
        <w:t>l</w:t>
      </w:r>
      <w:r>
        <w:t xml:space="preserve">ister review. We do know that CP conferences can be quite </w:t>
      </w:r>
      <w:proofErr w:type="gramStart"/>
      <w:r>
        <w:t>overwhelming</w:t>
      </w:r>
      <w:proofErr w:type="gramEnd"/>
      <w:r w:rsidR="00F643D0">
        <w:t xml:space="preserve"> and it isn’t</w:t>
      </w:r>
      <w:r>
        <w:t xml:space="preserve"> about saying you are performing badly, but </w:t>
      </w:r>
      <w:r w:rsidR="00F643D0">
        <w:t xml:space="preserve">that </w:t>
      </w:r>
      <w:r>
        <w:t xml:space="preserve">the </w:t>
      </w:r>
      <w:r w:rsidR="00F643D0">
        <w:t xml:space="preserve">safeguarding </w:t>
      </w:r>
      <w:r>
        <w:t xml:space="preserve">framework </w:t>
      </w:r>
      <w:r w:rsidR="00F643D0">
        <w:t xml:space="preserve">we are all using </w:t>
      </w:r>
      <w:r>
        <w:t xml:space="preserve">perhaps isn’t serving families.  </w:t>
      </w:r>
      <w:r w:rsidR="00F643D0">
        <w:t>CC asked i</w:t>
      </w:r>
      <w:r>
        <w:t xml:space="preserve">s there a kinder and more compassionate way to work with families even where there are worries about risk. </w:t>
      </w:r>
      <w:r w:rsidR="001D0F93">
        <w:t xml:space="preserve">Particularly important is the involvement of families and wider families, and when you do that well the state might not need to intervene in the same way. </w:t>
      </w:r>
    </w:p>
    <w:p w14:paraId="2C8E95AC" w14:textId="77777777" w:rsidR="001D0F93" w:rsidRDefault="001D0F93" w:rsidP="000D1BA2"/>
    <w:p w14:paraId="66A58E25" w14:textId="1F100498" w:rsidR="00C842CE" w:rsidRDefault="00C842CE" w:rsidP="000D1BA2">
      <w:r w:rsidRPr="00C842CE">
        <w:rPr>
          <w:noProof/>
        </w:rPr>
        <w:lastRenderedPageBreak/>
        <w:drawing>
          <wp:inline distT="0" distB="0" distL="0" distR="0" wp14:anchorId="448CF357" wp14:editId="392925C1">
            <wp:extent cx="5731510" cy="3077845"/>
            <wp:effectExtent l="0" t="0" r="2540" b="8255"/>
            <wp:docPr id="488550888" name="Picture 1" descr="A close-up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50888" name="Picture 1" descr="A close-up of a chat&#10;&#10;AI-generated content may be incorrect."/>
                    <pic:cNvPicPr/>
                  </pic:nvPicPr>
                  <pic:blipFill>
                    <a:blip r:embed="rId5"/>
                    <a:stretch>
                      <a:fillRect/>
                    </a:stretch>
                  </pic:blipFill>
                  <pic:spPr>
                    <a:xfrm>
                      <a:off x="0" y="0"/>
                      <a:ext cx="5731510" cy="3077845"/>
                    </a:xfrm>
                    <a:prstGeom prst="rect">
                      <a:avLst/>
                    </a:prstGeom>
                  </pic:spPr>
                </pic:pic>
              </a:graphicData>
            </a:graphic>
          </wp:inline>
        </w:drawing>
      </w:r>
    </w:p>
    <w:p w14:paraId="6557BF14" w14:textId="5665EFBB" w:rsidR="001C275C" w:rsidRDefault="001C275C" w:rsidP="000D1BA2">
      <w:r w:rsidRPr="001C275C">
        <w:rPr>
          <w:noProof/>
        </w:rPr>
        <w:drawing>
          <wp:inline distT="0" distB="0" distL="0" distR="0" wp14:anchorId="1FAABC71" wp14:editId="2A556906">
            <wp:extent cx="5731510" cy="2877185"/>
            <wp:effectExtent l="0" t="0" r="2540" b="0"/>
            <wp:docPr id="1611363989" name="Picture 1" descr="A screenshot of a whit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63989" name="Picture 1" descr="A screenshot of a white and black text&#10;&#10;AI-generated content may be incorrect."/>
                    <pic:cNvPicPr/>
                  </pic:nvPicPr>
                  <pic:blipFill>
                    <a:blip r:embed="rId6"/>
                    <a:stretch>
                      <a:fillRect/>
                    </a:stretch>
                  </pic:blipFill>
                  <pic:spPr>
                    <a:xfrm>
                      <a:off x="0" y="0"/>
                      <a:ext cx="5731510" cy="2877185"/>
                    </a:xfrm>
                    <a:prstGeom prst="rect">
                      <a:avLst/>
                    </a:prstGeom>
                  </pic:spPr>
                </pic:pic>
              </a:graphicData>
            </a:graphic>
          </wp:inline>
        </w:drawing>
      </w:r>
    </w:p>
    <w:p w14:paraId="2C7BE1A6" w14:textId="67D6BEAD" w:rsidR="001C275C" w:rsidRDefault="001C275C" w:rsidP="000D1BA2">
      <w:r>
        <w:t xml:space="preserve">Many </w:t>
      </w:r>
      <w:proofErr w:type="gramStart"/>
      <w:r>
        <w:t>MASH’s</w:t>
      </w:r>
      <w:proofErr w:type="gramEnd"/>
      <w:r>
        <w:t xml:space="preserve"> around the country are different </w:t>
      </w:r>
      <w:r w:rsidR="00F643D0">
        <w:t>but CC also shared that the MACPT</w:t>
      </w:r>
      <w:r>
        <w:t xml:space="preserve"> is a different role to a MASH.</w:t>
      </w:r>
    </w:p>
    <w:p w14:paraId="0F34658C" w14:textId="77777777" w:rsidR="00F643D0" w:rsidRDefault="001C275C" w:rsidP="001C275C">
      <w:r>
        <w:t>CC reflected on some of the challenges and live debates</w:t>
      </w:r>
      <w:r w:rsidR="00F643D0">
        <w:t xml:space="preserve"> relating to partner funding, worries about dismantling a strong safeguarding system for something unknown, the concerns flagged by Munro and Baroness Barran as well as the lack of an evidence base around this new way of working</w:t>
      </w:r>
      <w:r>
        <w:t xml:space="preserve">. </w:t>
      </w:r>
    </w:p>
    <w:p w14:paraId="7CDD3F04" w14:textId="77777777" w:rsidR="00F643D0" w:rsidRDefault="001C275C" w:rsidP="001C275C">
      <w:r>
        <w:t xml:space="preserve">SH said in Hampshire they have a large </w:t>
      </w:r>
      <w:proofErr w:type="gramStart"/>
      <w:r>
        <w:t>MASH,</w:t>
      </w:r>
      <w:proofErr w:type="gramEnd"/>
      <w:r>
        <w:t xml:space="preserve"> they do the strategy discussion in the MASH. There are 36 family help teams in Hampshire.  The chairs are now based in localities. </w:t>
      </w:r>
      <w:r w:rsidR="00CB2073">
        <w:t xml:space="preserve">SH reflected that </w:t>
      </w:r>
      <w:r w:rsidR="00F643D0">
        <w:t xml:space="preserve">partner </w:t>
      </w:r>
      <w:r w:rsidR="00CB2073">
        <w:t xml:space="preserve">resourcing </w:t>
      </w:r>
      <w:r w:rsidR="00F643D0">
        <w:t xml:space="preserve">in </w:t>
      </w:r>
      <w:r w:rsidR="00CB2073">
        <w:t xml:space="preserve">the MASH is difficult already, but then filtering partner capacity into operational teams feels very tricky. </w:t>
      </w:r>
      <w:r w:rsidR="000B5F29">
        <w:t xml:space="preserve">CC said I think </w:t>
      </w:r>
      <w:proofErr w:type="gramStart"/>
      <w:r w:rsidR="000B5F29">
        <w:t>MASH’s</w:t>
      </w:r>
      <w:proofErr w:type="gramEnd"/>
      <w:r w:rsidR="000B5F29">
        <w:t xml:space="preserve"> are great,</w:t>
      </w:r>
      <w:r w:rsidR="00F643D0">
        <w:t xml:space="preserve"> but we do use them to</w:t>
      </w:r>
      <w:r w:rsidR="000B5F29">
        <w:t xml:space="preserve"> invest an awful lot in sifting information. </w:t>
      </w:r>
      <w:proofErr w:type="gramStart"/>
      <w:r w:rsidR="00B91C24">
        <w:t>Often</w:t>
      </w:r>
      <w:proofErr w:type="gramEnd"/>
      <w:r w:rsidR="00B91C24">
        <w:t xml:space="preserve"> we are duplicating activities which come later. Do we need to be looking at those lower risk/EH families coming to the MASH.  Instead of all in the MASH, could half of partner capacity be involved in investigation</w:t>
      </w:r>
      <w:r w:rsidR="00F643D0">
        <w:t>s</w:t>
      </w:r>
      <w:r w:rsidR="00B91C24">
        <w:t xml:space="preserve">.  </w:t>
      </w:r>
    </w:p>
    <w:p w14:paraId="162A0F62" w14:textId="11896139" w:rsidR="001C275C" w:rsidRDefault="00F643D0" w:rsidP="001C275C">
      <w:r>
        <w:lastRenderedPageBreak/>
        <w:t>CC reflected from her work nationally that t</w:t>
      </w:r>
      <w:r w:rsidR="00B91C24">
        <w:t xml:space="preserve">he people finding it most difficult are CP chairs who historically have not been in homes.  </w:t>
      </w:r>
      <w:r>
        <w:t xml:space="preserve">CC said she has observed that whilst some CP </w:t>
      </w:r>
      <w:r w:rsidR="00B91C24">
        <w:t>Chairs have enjoyed the transition to LCPP</w:t>
      </w:r>
      <w:r>
        <w:t xml:space="preserve">, they have found it </w:t>
      </w:r>
      <w:r w:rsidR="00B91C24">
        <w:t>a harder transition than for senior practitioners</w:t>
      </w:r>
      <w:r>
        <w:t xml:space="preserve"> or operational team managers moving into that role</w:t>
      </w:r>
      <w:r w:rsidR="00B91C24">
        <w:t xml:space="preserve">.  CC said it is important to have a mix of experienced social workers and ex-CP chairs who </w:t>
      </w:r>
      <w:r>
        <w:t xml:space="preserve">may </w:t>
      </w:r>
      <w:r w:rsidR="00B91C24">
        <w:t xml:space="preserve">feel it is a step backwards. </w:t>
      </w:r>
    </w:p>
    <w:p w14:paraId="51F4D348" w14:textId="2A70C0A0" w:rsidR="00B91C24" w:rsidRDefault="00B91C24" w:rsidP="001C275C">
      <w:r>
        <w:t xml:space="preserve">RW from West Sussex – we’ve got an integrated front door, so all the greens do not touch the multi-agency partners. </w:t>
      </w:r>
      <w:r w:rsidR="00C80F70">
        <w:t>We have already done that to free up partner agencies. We also chair strategy discussions, but not S47s and C</w:t>
      </w:r>
      <w:r w:rsidR="00F643D0">
        <w:t>P</w:t>
      </w:r>
      <w:r w:rsidR="00C80F70">
        <w:t xml:space="preserve"> conferences in the MASH. Feedback from partners is that they can’t give us any more</w:t>
      </w:r>
      <w:r w:rsidR="00676373">
        <w:t xml:space="preserve"> resource.  </w:t>
      </w:r>
    </w:p>
    <w:p w14:paraId="5F9EDC80" w14:textId="29386407" w:rsidR="001C275C" w:rsidRDefault="00676373" w:rsidP="000D1BA2">
      <w:r>
        <w:t xml:space="preserve">CC says on reflection it would have been helpful for DfE to get DoH and Police on board early.  </w:t>
      </w:r>
    </w:p>
    <w:p w14:paraId="004ED61B" w14:textId="19EFF86B" w:rsidR="00676373" w:rsidRDefault="00676373" w:rsidP="000D1BA2">
      <w:r>
        <w:t>AT from Surrey said the local context of LGR happening in next 12 months</w:t>
      </w:r>
      <w:r w:rsidR="00F643D0">
        <w:t xml:space="preserve"> makes these additional changes very difficult</w:t>
      </w:r>
      <w:r>
        <w:t xml:space="preserve">. </w:t>
      </w:r>
      <w:r w:rsidR="00F643D0">
        <w:t>AT is lo</w:t>
      </w:r>
      <w:r>
        <w:t xml:space="preserve">oking for some ideas and other LAs to connect with. The whole of </w:t>
      </w:r>
      <w:r w:rsidR="00F643D0">
        <w:t>S</w:t>
      </w:r>
      <w:r>
        <w:t xml:space="preserve">urrey will be </w:t>
      </w:r>
      <w:proofErr w:type="gramStart"/>
      <w:r>
        <w:t>splitting</w:t>
      </w:r>
      <w:proofErr w:type="gramEnd"/>
      <w:r>
        <w:t xml:space="preserve"> and the </w:t>
      </w:r>
      <w:r w:rsidR="00F643D0">
        <w:t xml:space="preserve">senior capacity </w:t>
      </w:r>
      <w:r>
        <w:t>focus wil</w:t>
      </w:r>
      <w:r w:rsidR="00F643D0">
        <w:t>l</w:t>
      </w:r>
      <w:r>
        <w:t xml:space="preserve"> be there. CC advised that if there is a lot of focus in the organisation on structural change around LGR then the focus in the FF programme could helpfully focus on practice and family led decision making. On MACPT you could focus on different types of partner conversations.  </w:t>
      </w:r>
    </w:p>
    <w:p w14:paraId="39CC0CF5" w14:textId="04F4CE45" w:rsidR="00676373" w:rsidRDefault="00676373" w:rsidP="000D1BA2">
      <w:r>
        <w:t>CC said you could deliver the reforms and focus on practice</w:t>
      </w:r>
      <w:r w:rsidR="00F643D0">
        <w:t xml:space="preserve"> rather than on structural/HR change or systems and process changes</w:t>
      </w:r>
      <w:r>
        <w:t xml:space="preserve">.   </w:t>
      </w:r>
    </w:p>
    <w:p w14:paraId="71E42166" w14:textId="40351292" w:rsidR="00676373" w:rsidRPr="00676373" w:rsidRDefault="00676373" w:rsidP="00676373">
      <w:r>
        <w:t xml:space="preserve">JC said </w:t>
      </w:r>
      <w:r w:rsidR="00F643D0">
        <w:t>w</w:t>
      </w:r>
      <w:r w:rsidRPr="00676373">
        <w:t>e started a 4-month pilot MACPT in Oxfordshire 2 weeks ago (South of county only). Comprises CP Chairs (in LCPP role), Assessment Service, Police, and Adolescent Services. Pursuing health and education involvement but not there yet.</w:t>
      </w:r>
      <w:r w:rsidR="00F643D0">
        <w:t xml:space="preserve"> </w:t>
      </w:r>
      <w:r w:rsidRPr="00676373">
        <w:t>Worth noting that our LCPPs are NOT chairing strats or authoring S47s. They DO provide pre-threshold consultation, attend some strats (repeat planning/ CP), QA S47s, offer joint home visiting, chair ICPC, and chair ROTH conference.</w:t>
      </w:r>
    </w:p>
    <w:p w14:paraId="4F449E70" w14:textId="2F3AB7F5" w:rsidR="00676373" w:rsidRPr="00676373" w:rsidRDefault="00F643D0" w:rsidP="00676373">
      <w:r>
        <w:t xml:space="preserve">Oxfordshire’s </w:t>
      </w:r>
      <w:r w:rsidR="00676373" w:rsidRPr="00676373">
        <w:t>Rationale: Incremental implementation, avoids service re-structure/ re-design without having first tested/ understood impact (intended or otherwise), retains some CP chair independence; increases joint decision-making (particularly earlier in S47 process), flexible - can be rolled back or more deeply embedded/ further entrenched depending on learning, national changes, and LGR. This works for us, based on our current set up and local needs - appreciate others will come from different base.</w:t>
      </w:r>
      <w:r>
        <w:t xml:space="preserve"> Their p</w:t>
      </w:r>
      <w:r w:rsidR="00676373" w:rsidRPr="00676373">
        <w:t>ilot also includes Early Help holding some CIN (supervised by SW managers) and FNM at assessment stage (but neither of those particularly controversial).</w:t>
      </w:r>
    </w:p>
    <w:p w14:paraId="7B242075" w14:textId="66680CDA" w:rsidR="008A2348" w:rsidRDefault="008A2348" w:rsidP="00676373">
      <w:r>
        <w:t>VG said in Slough the</w:t>
      </w:r>
      <w:r w:rsidR="00261902">
        <w:t xml:space="preserve">y have both </w:t>
      </w:r>
      <w:r>
        <w:t>managerial level and senior prac</w:t>
      </w:r>
      <w:r w:rsidR="00261902">
        <w:t xml:space="preserve"> with the </w:t>
      </w:r>
      <w:r>
        <w:t>managerial level is leading chairing and independence.  The challenge in Sloug</w:t>
      </w:r>
      <w:r w:rsidR="00261902">
        <w:t>h</w:t>
      </w:r>
      <w:r>
        <w:t xml:space="preserve"> is more around health partner capacity and funding. </w:t>
      </w:r>
      <w:r w:rsidR="007663FB">
        <w:t xml:space="preserve">We’ve received different messages about the grant conditions to use funding for partner capacity. </w:t>
      </w:r>
      <w:r w:rsidR="0035645D">
        <w:t xml:space="preserve"> CC said her understanding of the grant conditions that this is allowed. RE confirmed this as well</w:t>
      </w:r>
      <w:r w:rsidR="00261902">
        <w:t xml:space="preserve"> but only for transformation and not for ongoing posts in the establishment. </w:t>
      </w:r>
    </w:p>
    <w:p w14:paraId="71B01825" w14:textId="1FF80F0F" w:rsidR="000B7B0F" w:rsidRDefault="000B7B0F" w:rsidP="00676373">
      <w:r>
        <w:t xml:space="preserve">AC said the reforms brings in </w:t>
      </w:r>
      <w:proofErr w:type="gramStart"/>
      <w:r>
        <w:t>a number of</w:t>
      </w:r>
      <w:proofErr w:type="gramEnd"/>
      <w:r>
        <w:t xml:space="preserve"> roles and </w:t>
      </w:r>
      <w:r w:rsidR="00261902">
        <w:t xml:space="preserve">in Isle of Wight they are thinking about </w:t>
      </w:r>
      <w:r>
        <w:t xml:space="preserve">how </w:t>
      </w:r>
      <w:proofErr w:type="gramStart"/>
      <w:r>
        <w:t>might we</w:t>
      </w:r>
      <w:proofErr w:type="gramEnd"/>
      <w:r>
        <w:t xml:space="preserve"> make that work in a small LA both from a resource point of view but also in terms of how that feels for families.  CC said </w:t>
      </w:r>
      <w:proofErr w:type="gramStart"/>
      <w:r>
        <w:t>yes</w:t>
      </w:r>
      <w:proofErr w:type="gramEnd"/>
      <w:r>
        <w:t xml:space="preserve"> the LCPP will be one more person, but joint visits provide a second pair of eyes. CC said </w:t>
      </w:r>
      <w:r w:rsidR="00261902">
        <w:t>in</w:t>
      </w:r>
      <w:r>
        <w:t xml:space="preserve"> Redbridge, this is someone else there to help you do this very difficult visit. </w:t>
      </w:r>
    </w:p>
    <w:p w14:paraId="0EB864C5" w14:textId="1295640F" w:rsidR="000B7B0F" w:rsidRDefault="000B7B0F" w:rsidP="000B7B0F">
      <w:r>
        <w:lastRenderedPageBreak/>
        <w:t xml:space="preserve">TD </w:t>
      </w:r>
      <w:r w:rsidR="00261902">
        <w:t xml:space="preserve">in Medway </w:t>
      </w:r>
      <w:r>
        <w:t xml:space="preserve">said </w:t>
      </w:r>
      <w:r w:rsidRPr="000B7B0F">
        <w:t>All our CP Chairs visit children in their homes prior to ICPC and a Review and this is included in our performance dashboard.</w:t>
      </w:r>
    </w:p>
    <w:p w14:paraId="637CFF61" w14:textId="3DFFD710" w:rsidR="000B7B0F" w:rsidRDefault="000B7B0F" w:rsidP="000B7B0F">
      <w:r>
        <w:t xml:space="preserve">Priscilla Kurewa </w:t>
      </w:r>
      <w:proofErr w:type="gramStart"/>
      <w:r>
        <w:t>from  Bracknell</w:t>
      </w:r>
      <w:proofErr w:type="gramEnd"/>
      <w:r>
        <w:t xml:space="preserve"> Forest asked the role of education lead</w:t>
      </w:r>
      <w:r w:rsidR="009922B3">
        <w:t xml:space="preserve"> within MACPTs</w:t>
      </w:r>
      <w:r>
        <w:t xml:space="preserve">.  CC said it is less clear and developed role. But it would be helpful to have a strategic link and liaison with schools. </w:t>
      </w:r>
    </w:p>
    <w:p w14:paraId="414E7B88" w14:textId="50FE6432" w:rsidR="00DF1320" w:rsidRDefault="009922B3" w:rsidP="000B7B0F">
      <w:r>
        <w:t xml:space="preserve">HL from Hants said I am comfortable and can see the benefits of MACPTs but what families and partners think about the removal of independent chairs. </w:t>
      </w:r>
      <w:r w:rsidR="00261902">
        <w:t>HL said in some instances t</w:t>
      </w:r>
      <w:r>
        <w:t xml:space="preserve">here is also value in not having met the family and coming to it independently. </w:t>
      </w:r>
      <w:r w:rsidR="00261902">
        <w:t>S</w:t>
      </w:r>
      <w:r w:rsidR="000B2D04">
        <w:t xml:space="preserve">ome families see a benefit in having someone challenge the social workers. </w:t>
      </w:r>
      <w:r w:rsidR="00DF1320">
        <w:t xml:space="preserve"> CC said she didn’t have feedback from families.  </w:t>
      </w:r>
      <w:r w:rsidR="00261902">
        <w:t xml:space="preserve">CC said she expected that families </w:t>
      </w:r>
      <w:r w:rsidR="00DF1320">
        <w:t>love the independence when the chair says we aren’t putting the child on a plan, but they don’t love it when they go the opposite way.</w:t>
      </w:r>
    </w:p>
    <w:p w14:paraId="26E97E57" w14:textId="445D2F14" w:rsidR="00C74659" w:rsidRDefault="00DF1320" w:rsidP="000B7B0F">
      <w:r>
        <w:t xml:space="preserve">NM said in ESCC they used the SESLIP formula and it was very expensive to bring in the amount of capacity that might be needed. </w:t>
      </w:r>
      <w:r w:rsidR="00C74659">
        <w:t xml:space="preserve">The evaluation of the enormously significant changes and the pathfinder evaluation was quite </w:t>
      </w:r>
      <w:r w:rsidR="00261902">
        <w:t>qualitative</w:t>
      </w:r>
      <w:r w:rsidR="00C74659">
        <w:t xml:space="preserve">, so I think it is a good thing that things are being paused. </w:t>
      </w:r>
    </w:p>
    <w:p w14:paraId="7BE8544E" w14:textId="413BF308" w:rsidR="00C74659" w:rsidRDefault="00C74659" w:rsidP="000B7B0F">
      <w:r>
        <w:t xml:space="preserve">CC said she agrees and there hasn’t been information she has seen about the financial impact of this. </w:t>
      </w:r>
    </w:p>
    <w:p w14:paraId="37B42D24" w14:textId="2FC618E2" w:rsidR="00F8393C" w:rsidRDefault="004746B0" w:rsidP="000B7B0F">
      <w:r>
        <w:t xml:space="preserve">JC said everyone’s starting point is different and so what feels viable is different. In Oxfordshire </w:t>
      </w:r>
      <w:r w:rsidR="00261902">
        <w:t xml:space="preserve">they </w:t>
      </w:r>
      <w:r>
        <w:t>moved to family safeguarding got rid of assessment service which didn’t work</w:t>
      </w:r>
      <w:r w:rsidR="00F45091">
        <w:t xml:space="preserve">. </w:t>
      </w:r>
      <w:r w:rsidR="004E2DFA">
        <w:t>Adam Thomas asked,</w:t>
      </w:r>
      <w:r w:rsidR="004E2DFA" w:rsidRPr="004E2DFA">
        <w:t> please can you say why it didn't work previously to remove the assessment teams - what was it that didn't work</w:t>
      </w:r>
      <w:r w:rsidR="004E2DFA">
        <w:t xml:space="preserve">. </w:t>
      </w:r>
      <w:r w:rsidR="00261902">
        <w:t xml:space="preserve">AT said they </w:t>
      </w:r>
      <w:r w:rsidR="004E2DFA" w:rsidRPr="004E2DFA">
        <w:t xml:space="preserve">got implementation wrong - ploughed on with Family Safeguarding in the middle of Covid, big bang approach, teams under-prepared. SW time got completely swallowed into assessment time and court activity </w:t>
      </w:r>
      <w:proofErr w:type="gramStart"/>
      <w:r w:rsidR="004E2DFA" w:rsidRPr="004E2DFA">
        <w:t>-  family</w:t>
      </w:r>
      <w:proofErr w:type="gramEnd"/>
      <w:r w:rsidR="004E2DFA" w:rsidRPr="004E2DFA">
        <w:t xml:space="preserve"> engagement got really squeezed. We hadn't, probably, done enough work with our teams to ready them for taking on different aspects of their role. </w:t>
      </w:r>
    </w:p>
    <w:p w14:paraId="68C13632" w14:textId="2F323515" w:rsidR="00747A65" w:rsidRPr="00747A65" w:rsidRDefault="00747A65" w:rsidP="00747A65">
      <w:r>
        <w:t xml:space="preserve">Michelle Sanders: </w:t>
      </w:r>
      <w:r w:rsidR="00261902">
        <w:t xml:space="preserve">said they have also </w:t>
      </w:r>
      <w:r w:rsidRPr="00747A65">
        <w:t>used the tool in Portsmouth and the numbers required for LCPPs</w:t>
      </w:r>
      <w:r w:rsidR="00261902">
        <w:t xml:space="preserve"> is very</w:t>
      </w:r>
      <w:r w:rsidRPr="00747A65">
        <w:t xml:space="preserve"> high despite being a small LA </w:t>
      </w:r>
    </w:p>
    <w:p w14:paraId="57490FC7" w14:textId="7BF6B816" w:rsidR="00747A65" w:rsidRDefault="00747A65" w:rsidP="00747A65">
      <w:r>
        <w:t>To</w:t>
      </w:r>
      <w:r w:rsidR="00F65354">
        <w:t>m</w:t>
      </w:r>
      <w:r>
        <w:t xml:space="preserve"> Stibbs: </w:t>
      </w:r>
      <w:r w:rsidRPr="00747A65">
        <w:t>We have used the SESLIP tool too and like Nicola this would very significantly increase the number of LCPPs we would need and this would have a massive impact on finances</w:t>
      </w:r>
      <w:r w:rsidR="00682A35">
        <w:t>.</w:t>
      </w:r>
    </w:p>
    <w:p w14:paraId="1AD9C650" w14:textId="70377D32" w:rsidR="00682A35" w:rsidRDefault="00682A35" w:rsidP="00747A65">
      <w:r>
        <w:t>S</w:t>
      </w:r>
      <w:r w:rsidR="00261902">
        <w:t>H</w:t>
      </w:r>
      <w:r>
        <w:t xml:space="preserve"> said one elephant in the room which hasn’t yet been referenced</w:t>
      </w:r>
      <w:r w:rsidR="00261902">
        <w:t xml:space="preserve"> is</w:t>
      </w:r>
      <w:r w:rsidR="00DB13FE">
        <w:t xml:space="preserve"> Ofsted</w:t>
      </w:r>
      <w:r>
        <w:t xml:space="preserve">.  We are a very risk averse profession.  We met with Josh Macallister early on to talk through plans for family help in Hampshire. </w:t>
      </w:r>
      <w:r w:rsidR="00DB13FE">
        <w:t xml:space="preserve">We should have family help and a very small amount of Child protection with a view that this capacity is constantly pushing down and asking why CP is needed.  </w:t>
      </w:r>
    </w:p>
    <w:p w14:paraId="3E0D81FC" w14:textId="2EC92DF1" w:rsidR="002B7C2C" w:rsidRDefault="00DB13FE" w:rsidP="00747A65">
      <w:r>
        <w:t xml:space="preserve">There is an element of the </w:t>
      </w:r>
      <w:r w:rsidR="00261902">
        <w:t>Ofsted</w:t>
      </w:r>
      <w:r>
        <w:t xml:space="preserve"> inspection which encourages this culture of risk aversion.  SH asked for CC reflections on Ofsted coming on this journey.  CC said the DfE and government are looking at what inspections could and should be </w:t>
      </w:r>
      <w:proofErr w:type="gramStart"/>
      <w:r>
        <w:t xml:space="preserve">like </w:t>
      </w:r>
      <w:r w:rsidR="00261902">
        <w:t xml:space="preserve"> in</w:t>
      </w:r>
      <w:proofErr w:type="gramEnd"/>
      <w:r w:rsidR="00261902">
        <w:t xml:space="preserve"> the future</w:t>
      </w:r>
      <w:r>
        <w:t xml:space="preserve">.  They don’t ask how many you have in care, if your CLA per 10,000 is much higher than neighbours Ofsted isn’t interested in why, they are interested in policies and procedures.  Warwickshire was downgraded but some other pathfinders were upgraded. </w:t>
      </w:r>
      <w:r w:rsidR="00A21B3A">
        <w:t xml:space="preserve">I didn’t see anywhere in the report a link between the reforms and the outcome, the marking was about the practice.  </w:t>
      </w:r>
      <w:r w:rsidR="00AC6F28">
        <w:t xml:space="preserve">CC said this is a challenging tightrope to walk. </w:t>
      </w:r>
    </w:p>
    <w:p w14:paraId="0CBF2129" w14:textId="2BFCFE81" w:rsidR="000315B2" w:rsidRPr="000315B2" w:rsidRDefault="002F71C3" w:rsidP="000D1BA2">
      <w:pPr>
        <w:tabs>
          <w:tab w:val="left" w:pos="1510"/>
        </w:tabs>
      </w:pPr>
      <w:r>
        <w:rPr>
          <w:b/>
          <w:bCs/>
        </w:rPr>
        <w:lastRenderedPageBreak/>
        <w:t>AOB:</w:t>
      </w:r>
      <w:r w:rsidR="00E31466">
        <w:rPr>
          <w:b/>
          <w:bCs/>
        </w:rPr>
        <w:t xml:space="preserve"> </w:t>
      </w:r>
      <w:r w:rsidR="00E31466">
        <w:t xml:space="preserve"> </w:t>
      </w:r>
    </w:p>
    <w:p w14:paraId="0A8B0E16" w14:textId="7B2423CA" w:rsidR="004F7FA2" w:rsidRDefault="00261902" w:rsidP="009D5B0C">
      <w:r>
        <w:t xml:space="preserve">RE flagged that SESLIP has been asked to consider what regional work we might do in relation to contextual safeguarding, risk outside the home. IC said in Kent </w:t>
      </w:r>
      <w:proofErr w:type="gramStart"/>
      <w:r>
        <w:t xml:space="preserve">they </w:t>
      </w:r>
      <w:r>
        <w:t xml:space="preserve"> had</w:t>
      </w:r>
      <w:proofErr w:type="gramEnd"/>
      <w:r>
        <w:t xml:space="preserve"> conference</w:t>
      </w:r>
      <w:r>
        <w:t xml:space="preserve"> and</w:t>
      </w:r>
      <w:r>
        <w:t xml:space="preserve"> launched tool, role of family hubs around contextual risk. </w:t>
      </w:r>
      <w:r>
        <w:t>They c</w:t>
      </w:r>
      <w:r>
        <w:t xml:space="preserve">an contribute </w:t>
      </w:r>
      <w:proofErr w:type="gramStart"/>
      <w:r>
        <w:t xml:space="preserve">learning </w:t>
      </w:r>
      <w:r>
        <w:t>.</w:t>
      </w:r>
      <w:proofErr w:type="gramEnd"/>
      <w:r>
        <w:t xml:space="preserve"> Kent, Hampshire and Southampton all had approaches and models to share. </w:t>
      </w:r>
    </w:p>
    <w:p w14:paraId="60109B15" w14:textId="7B30B5DF" w:rsidR="00261902" w:rsidRDefault="00261902" w:rsidP="009D5B0C">
      <w:r>
        <w:t xml:space="preserve">SH asked can we think about a model of best practice?  </w:t>
      </w:r>
    </w:p>
    <w:p w14:paraId="162C48E7" w14:textId="4A530261" w:rsidR="00261902" w:rsidRPr="00261902" w:rsidRDefault="00261902" w:rsidP="009D5B0C">
      <w:r>
        <w:rPr>
          <w:b/>
          <w:bCs/>
        </w:rPr>
        <w:t xml:space="preserve">Action: </w:t>
      </w:r>
      <w:r>
        <w:t xml:space="preserve"> SR and RE to develop proposal around contextual risk</w:t>
      </w:r>
      <w:r w:rsidR="00E676F5">
        <w:t xml:space="preserve"> for DfE funding via SESLIP</w:t>
      </w:r>
      <w:r>
        <w:t xml:space="preserve"> with a focus on a conference/practice sharing in 2026/27</w:t>
      </w:r>
    </w:p>
    <w:p w14:paraId="6458507F" w14:textId="60FBDC95" w:rsidR="00A8292D" w:rsidRPr="00DF0900" w:rsidRDefault="00A8292D" w:rsidP="009D5B0C">
      <w:pPr>
        <w:sectPr w:rsidR="00A8292D" w:rsidRPr="00DF0900">
          <w:pgSz w:w="11906" w:h="16838"/>
          <w:pgMar w:top="1440" w:right="1440" w:bottom="1440" w:left="1440" w:header="708" w:footer="708" w:gutter="0"/>
          <w:cols w:space="708"/>
          <w:docGrid w:linePitch="360"/>
        </w:sectPr>
      </w:pPr>
    </w:p>
    <w:p w14:paraId="2FBAABA2" w14:textId="3C4FD782" w:rsidR="00DA1723" w:rsidRPr="00E568C2" w:rsidRDefault="00DA1723" w:rsidP="00DA1723">
      <w:pPr>
        <w:rPr>
          <w:rFonts w:ascii="Raleway" w:hAnsi="Raleway"/>
          <w:b/>
          <w:bCs/>
        </w:rPr>
      </w:pPr>
      <w:r>
        <w:rPr>
          <w:rFonts w:ascii="Raleway" w:hAnsi="Raleway"/>
          <w:b/>
          <w:bCs/>
        </w:rPr>
        <w:lastRenderedPageBreak/>
        <w:t xml:space="preserve">Action log: updated </w:t>
      </w:r>
      <w:r w:rsidR="00261902">
        <w:rPr>
          <w:rFonts w:ascii="Raleway" w:hAnsi="Raleway"/>
          <w:b/>
          <w:bCs/>
        </w:rPr>
        <w:t>February 26 2o26</w:t>
      </w:r>
      <w:r w:rsidR="00E31466">
        <w:rPr>
          <w:rFonts w:ascii="Raleway" w:hAnsi="Raleway"/>
          <w:b/>
          <w:bCs/>
        </w:rPr>
        <w:t xml:space="preserve"> </w:t>
      </w:r>
      <w:r>
        <w:rPr>
          <w:bCs/>
        </w:rPr>
        <w:t>Shaded lines, actions are complete</w:t>
      </w:r>
    </w:p>
    <w:tbl>
      <w:tblPr>
        <w:tblStyle w:val="TableGrid"/>
        <w:tblW w:w="14596" w:type="dxa"/>
        <w:tblInd w:w="-147" w:type="dxa"/>
        <w:tblLook w:val="04A0" w:firstRow="1" w:lastRow="0" w:firstColumn="1" w:lastColumn="0" w:noHBand="0" w:noVBand="1"/>
      </w:tblPr>
      <w:tblGrid>
        <w:gridCol w:w="566"/>
        <w:gridCol w:w="9839"/>
        <w:gridCol w:w="1515"/>
        <w:gridCol w:w="1403"/>
        <w:gridCol w:w="1273"/>
      </w:tblGrid>
      <w:tr w:rsidR="00DA1723" w14:paraId="7D310D98" w14:textId="77777777" w:rsidTr="06462666">
        <w:tc>
          <w:tcPr>
            <w:tcW w:w="566" w:type="dxa"/>
            <w:shd w:val="clear" w:color="auto" w:fill="FFFFFF" w:themeFill="background1"/>
          </w:tcPr>
          <w:p w14:paraId="27574251" w14:textId="77777777" w:rsidR="00DA1723" w:rsidRDefault="00DA1723" w:rsidP="009068E7">
            <w:pPr>
              <w:contextualSpacing/>
              <w:rPr>
                <w:b/>
              </w:rPr>
            </w:pPr>
          </w:p>
        </w:tc>
        <w:tc>
          <w:tcPr>
            <w:tcW w:w="9839" w:type="dxa"/>
            <w:shd w:val="clear" w:color="auto" w:fill="FFFFFF" w:themeFill="background1"/>
          </w:tcPr>
          <w:p w14:paraId="5997D672" w14:textId="77777777" w:rsidR="00DA1723" w:rsidRDefault="00DA1723" w:rsidP="009068E7">
            <w:pPr>
              <w:contextualSpacing/>
              <w:rPr>
                <w:b/>
              </w:rPr>
            </w:pPr>
            <w:r>
              <w:rPr>
                <w:b/>
              </w:rPr>
              <w:t>Action</w:t>
            </w:r>
          </w:p>
        </w:tc>
        <w:tc>
          <w:tcPr>
            <w:tcW w:w="1515" w:type="dxa"/>
            <w:shd w:val="clear" w:color="auto" w:fill="FFFFFF" w:themeFill="background1"/>
          </w:tcPr>
          <w:p w14:paraId="310AB605" w14:textId="77777777" w:rsidR="00DA1723" w:rsidRDefault="00DA1723" w:rsidP="009068E7">
            <w:pPr>
              <w:contextualSpacing/>
              <w:rPr>
                <w:b/>
              </w:rPr>
            </w:pPr>
            <w:r>
              <w:rPr>
                <w:b/>
              </w:rPr>
              <w:t>Responsible</w:t>
            </w:r>
          </w:p>
        </w:tc>
        <w:tc>
          <w:tcPr>
            <w:tcW w:w="1403" w:type="dxa"/>
            <w:shd w:val="clear" w:color="auto" w:fill="FFFFFF" w:themeFill="background1"/>
          </w:tcPr>
          <w:p w14:paraId="02F5B928" w14:textId="77777777" w:rsidR="00DA1723" w:rsidRDefault="00DA1723" w:rsidP="009068E7">
            <w:pPr>
              <w:contextualSpacing/>
              <w:rPr>
                <w:b/>
              </w:rPr>
            </w:pPr>
            <w:r>
              <w:rPr>
                <w:b/>
              </w:rPr>
              <w:t>Date issued</w:t>
            </w:r>
          </w:p>
        </w:tc>
        <w:tc>
          <w:tcPr>
            <w:tcW w:w="1273" w:type="dxa"/>
            <w:shd w:val="clear" w:color="auto" w:fill="FFFFFF" w:themeFill="background1"/>
          </w:tcPr>
          <w:p w14:paraId="27CCF71E" w14:textId="77777777" w:rsidR="00DA1723" w:rsidRDefault="00DA1723" w:rsidP="009068E7">
            <w:pPr>
              <w:contextualSpacing/>
              <w:rPr>
                <w:b/>
              </w:rPr>
            </w:pPr>
            <w:r>
              <w:rPr>
                <w:b/>
              </w:rPr>
              <w:t>Status</w:t>
            </w:r>
          </w:p>
        </w:tc>
      </w:tr>
      <w:tr w:rsidR="00DF0900" w14:paraId="2C3F9590" w14:textId="77777777" w:rsidTr="00261902">
        <w:tc>
          <w:tcPr>
            <w:tcW w:w="566" w:type="dxa"/>
            <w:shd w:val="clear" w:color="auto" w:fill="747474" w:themeFill="background2" w:themeFillShade="80"/>
          </w:tcPr>
          <w:p w14:paraId="75D63D34" w14:textId="32B8AE32" w:rsidR="00DF0900" w:rsidRDefault="003D4169" w:rsidP="00DF0900">
            <w:pPr>
              <w:contextualSpacing/>
              <w:rPr>
                <w:b/>
              </w:rPr>
            </w:pPr>
            <w:r>
              <w:rPr>
                <w:b/>
              </w:rPr>
              <w:t>1</w:t>
            </w:r>
          </w:p>
        </w:tc>
        <w:tc>
          <w:tcPr>
            <w:tcW w:w="9839" w:type="dxa"/>
            <w:shd w:val="clear" w:color="auto" w:fill="747474" w:themeFill="background2" w:themeFillShade="80"/>
          </w:tcPr>
          <w:p w14:paraId="36F6DE5D" w14:textId="2C8E07D1" w:rsidR="00DF0900" w:rsidRDefault="003D4169" w:rsidP="00DF0900">
            <w:pPr>
              <w:contextualSpacing/>
              <w:rPr>
                <w:b/>
              </w:rPr>
            </w:pPr>
            <w:r>
              <w:t xml:space="preserve">Priorities for the group listed in the Terms of reference to be amended </w:t>
            </w:r>
            <w:proofErr w:type="gramStart"/>
            <w:r>
              <w:t>in light of</w:t>
            </w:r>
            <w:proofErr w:type="gramEnd"/>
            <w:r>
              <w:t xml:space="preserve"> discussion at the end of the meeting.</w:t>
            </w:r>
          </w:p>
        </w:tc>
        <w:tc>
          <w:tcPr>
            <w:tcW w:w="1515" w:type="dxa"/>
            <w:shd w:val="clear" w:color="auto" w:fill="747474" w:themeFill="background2" w:themeFillShade="80"/>
          </w:tcPr>
          <w:p w14:paraId="37BD73F9" w14:textId="607CE70C" w:rsidR="00DF0900" w:rsidRPr="00DF0900" w:rsidRDefault="003D4169" w:rsidP="00DF0900">
            <w:pPr>
              <w:contextualSpacing/>
              <w:rPr>
                <w:bCs/>
              </w:rPr>
            </w:pPr>
            <w:r>
              <w:rPr>
                <w:bCs/>
              </w:rPr>
              <w:t>RE SR</w:t>
            </w:r>
          </w:p>
        </w:tc>
        <w:tc>
          <w:tcPr>
            <w:tcW w:w="1403" w:type="dxa"/>
            <w:shd w:val="clear" w:color="auto" w:fill="747474" w:themeFill="background2" w:themeFillShade="80"/>
          </w:tcPr>
          <w:p w14:paraId="7A16D74B" w14:textId="50947758" w:rsidR="00DF0900" w:rsidRDefault="00DF0900" w:rsidP="00DF0900">
            <w:pPr>
              <w:contextualSpacing/>
              <w:rPr>
                <w:b/>
              </w:rPr>
            </w:pPr>
            <w:r w:rsidRPr="00DF0900">
              <w:rPr>
                <w:bCs/>
              </w:rPr>
              <w:t>Sept 2025</w:t>
            </w:r>
          </w:p>
        </w:tc>
        <w:tc>
          <w:tcPr>
            <w:tcW w:w="1273" w:type="dxa"/>
            <w:shd w:val="clear" w:color="auto" w:fill="747474" w:themeFill="background2" w:themeFillShade="80"/>
          </w:tcPr>
          <w:p w14:paraId="594E4F28" w14:textId="1BACEA7E" w:rsidR="00DF0900" w:rsidRDefault="008C593C" w:rsidP="06462666">
            <w:pPr>
              <w:contextualSpacing/>
              <w:rPr>
                <w:b/>
                <w:bCs/>
              </w:rPr>
            </w:pPr>
            <w:r>
              <w:rPr>
                <w:b/>
                <w:bCs/>
              </w:rPr>
              <w:t>Complete</w:t>
            </w:r>
          </w:p>
        </w:tc>
      </w:tr>
      <w:tr w:rsidR="00DF0900" w14:paraId="705952B9" w14:textId="77777777" w:rsidTr="00261902">
        <w:tc>
          <w:tcPr>
            <w:tcW w:w="566" w:type="dxa"/>
            <w:shd w:val="clear" w:color="auto" w:fill="747474" w:themeFill="background2" w:themeFillShade="80"/>
          </w:tcPr>
          <w:p w14:paraId="4D2807F6" w14:textId="71FF9126" w:rsidR="00DF0900" w:rsidRDefault="003D4169" w:rsidP="00DF0900">
            <w:pPr>
              <w:contextualSpacing/>
              <w:rPr>
                <w:b/>
              </w:rPr>
            </w:pPr>
            <w:r>
              <w:rPr>
                <w:b/>
              </w:rPr>
              <w:t>2</w:t>
            </w:r>
          </w:p>
        </w:tc>
        <w:tc>
          <w:tcPr>
            <w:tcW w:w="9839" w:type="dxa"/>
            <w:shd w:val="clear" w:color="auto" w:fill="747474" w:themeFill="background2" w:themeFillShade="80"/>
          </w:tcPr>
          <w:p w14:paraId="5873F236" w14:textId="77777777" w:rsidR="003D4169" w:rsidRPr="006412CC" w:rsidRDefault="003D4169" w:rsidP="003D4169">
            <w:pPr>
              <w:tabs>
                <w:tab w:val="left" w:pos="1510"/>
              </w:tabs>
              <w:rPr>
                <w:rFonts w:cstheme="majorHAnsi"/>
              </w:rPr>
            </w:pPr>
            <w:r>
              <w:rPr>
                <w:rFonts w:cstheme="majorHAnsi"/>
              </w:rPr>
              <w:t xml:space="preserve">IoW to present at future meeting about their family hubs model. </w:t>
            </w:r>
          </w:p>
          <w:p w14:paraId="13C65983" w14:textId="2F4606B5" w:rsidR="00DF0900" w:rsidRDefault="00DF0900" w:rsidP="00DF0900">
            <w:pPr>
              <w:contextualSpacing/>
              <w:rPr>
                <w:b/>
              </w:rPr>
            </w:pPr>
          </w:p>
        </w:tc>
        <w:tc>
          <w:tcPr>
            <w:tcW w:w="1515" w:type="dxa"/>
            <w:shd w:val="clear" w:color="auto" w:fill="747474" w:themeFill="background2" w:themeFillShade="80"/>
          </w:tcPr>
          <w:p w14:paraId="3B64B4B5" w14:textId="1C9F3123" w:rsidR="00DF0900" w:rsidRDefault="00B635FC" w:rsidP="06462666">
            <w:pPr>
              <w:contextualSpacing/>
            </w:pPr>
            <w:r>
              <w:t>KJ</w:t>
            </w:r>
          </w:p>
        </w:tc>
        <w:tc>
          <w:tcPr>
            <w:tcW w:w="1403" w:type="dxa"/>
            <w:shd w:val="clear" w:color="auto" w:fill="747474" w:themeFill="background2" w:themeFillShade="80"/>
          </w:tcPr>
          <w:p w14:paraId="21754D7C" w14:textId="685522B2" w:rsidR="00DF0900" w:rsidRDefault="00DF0900" w:rsidP="00DF0900">
            <w:pPr>
              <w:contextualSpacing/>
              <w:rPr>
                <w:b/>
              </w:rPr>
            </w:pPr>
            <w:r w:rsidRPr="00DF0900">
              <w:rPr>
                <w:bCs/>
              </w:rPr>
              <w:t>Sept 2025</w:t>
            </w:r>
          </w:p>
        </w:tc>
        <w:tc>
          <w:tcPr>
            <w:tcW w:w="1273" w:type="dxa"/>
            <w:shd w:val="clear" w:color="auto" w:fill="747474" w:themeFill="background2" w:themeFillShade="80"/>
          </w:tcPr>
          <w:p w14:paraId="2C2A5DB2" w14:textId="74A0CA94" w:rsidR="00DF0900" w:rsidRDefault="008C593C" w:rsidP="00DF0900">
            <w:pPr>
              <w:contextualSpacing/>
              <w:rPr>
                <w:b/>
              </w:rPr>
            </w:pPr>
            <w:r>
              <w:rPr>
                <w:b/>
              </w:rPr>
              <w:t>Complete</w:t>
            </w:r>
          </w:p>
        </w:tc>
      </w:tr>
      <w:tr w:rsidR="00DF0900" w14:paraId="420F74CD" w14:textId="77777777" w:rsidTr="00261902">
        <w:tc>
          <w:tcPr>
            <w:tcW w:w="566" w:type="dxa"/>
            <w:shd w:val="clear" w:color="auto" w:fill="747474" w:themeFill="background2" w:themeFillShade="80"/>
          </w:tcPr>
          <w:p w14:paraId="5F225B6D" w14:textId="58D8BB5B" w:rsidR="00DF0900" w:rsidRDefault="00B635FC" w:rsidP="00DF0900">
            <w:pPr>
              <w:contextualSpacing/>
              <w:rPr>
                <w:b/>
              </w:rPr>
            </w:pPr>
            <w:r>
              <w:rPr>
                <w:b/>
              </w:rPr>
              <w:t>3</w:t>
            </w:r>
          </w:p>
        </w:tc>
        <w:tc>
          <w:tcPr>
            <w:tcW w:w="9839" w:type="dxa"/>
            <w:shd w:val="clear" w:color="auto" w:fill="747474" w:themeFill="background2" w:themeFillShade="80"/>
          </w:tcPr>
          <w:p w14:paraId="441A42A2" w14:textId="15041245" w:rsidR="00DF0900" w:rsidRPr="00B635FC" w:rsidRDefault="00B635FC" w:rsidP="00B635FC">
            <w:pPr>
              <w:tabs>
                <w:tab w:val="left" w:pos="1510"/>
              </w:tabs>
            </w:pPr>
            <w:r>
              <w:t>Next meeting to hear from Reading/Brighter Futures, Slough Children first, Southampton, Surrey, West Berks, Wokingham, West Sussex and Achieving for Children</w:t>
            </w:r>
          </w:p>
        </w:tc>
        <w:tc>
          <w:tcPr>
            <w:tcW w:w="1515" w:type="dxa"/>
            <w:shd w:val="clear" w:color="auto" w:fill="747474" w:themeFill="background2" w:themeFillShade="80"/>
          </w:tcPr>
          <w:p w14:paraId="3E7B191E" w14:textId="1F6244E6" w:rsidR="00DF0900" w:rsidRPr="00DF0900" w:rsidRDefault="00B635FC" w:rsidP="00DF0900">
            <w:pPr>
              <w:contextualSpacing/>
              <w:rPr>
                <w:bCs/>
              </w:rPr>
            </w:pPr>
            <w:r>
              <w:rPr>
                <w:bCs/>
              </w:rPr>
              <w:t>Presenting LAs</w:t>
            </w:r>
          </w:p>
        </w:tc>
        <w:tc>
          <w:tcPr>
            <w:tcW w:w="1403" w:type="dxa"/>
            <w:shd w:val="clear" w:color="auto" w:fill="747474" w:themeFill="background2" w:themeFillShade="80"/>
          </w:tcPr>
          <w:p w14:paraId="137F6CB1" w14:textId="5DA2F762" w:rsidR="00DF0900" w:rsidRPr="00DF0900" w:rsidRDefault="00DF0900" w:rsidP="00DF0900">
            <w:pPr>
              <w:contextualSpacing/>
              <w:rPr>
                <w:bCs/>
              </w:rPr>
            </w:pPr>
            <w:r w:rsidRPr="00DF0900">
              <w:rPr>
                <w:bCs/>
              </w:rPr>
              <w:t>Sept 2025</w:t>
            </w:r>
          </w:p>
        </w:tc>
        <w:tc>
          <w:tcPr>
            <w:tcW w:w="1273" w:type="dxa"/>
            <w:shd w:val="clear" w:color="auto" w:fill="747474" w:themeFill="background2" w:themeFillShade="80"/>
          </w:tcPr>
          <w:p w14:paraId="1A797F25" w14:textId="377BBEBE" w:rsidR="00DF0900" w:rsidRPr="00DF0900" w:rsidRDefault="008C593C" w:rsidP="00DF0900">
            <w:pPr>
              <w:contextualSpacing/>
              <w:rPr>
                <w:bCs/>
              </w:rPr>
            </w:pPr>
            <w:r>
              <w:rPr>
                <w:bCs/>
              </w:rPr>
              <w:t>Complete</w:t>
            </w:r>
          </w:p>
        </w:tc>
      </w:tr>
      <w:tr w:rsidR="008C593C" w14:paraId="4DCD2E06" w14:textId="77777777" w:rsidTr="00261902">
        <w:tc>
          <w:tcPr>
            <w:tcW w:w="566" w:type="dxa"/>
            <w:shd w:val="clear" w:color="auto" w:fill="747474" w:themeFill="background2" w:themeFillShade="80"/>
          </w:tcPr>
          <w:p w14:paraId="7C3FF1C8" w14:textId="536B8A40" w:rsidR="008C593C" w:rsidRDefault="008C593C" w:rsidP="00DF0900">
            <w:pPr>
              <w:contextualSpacing/>
              <w:rPr>
                <w:b/>
              </w:rPr>
            </w:pPr>
            <w:r>
              <w:rPr>
                <w:b/>
              </w:rPr>
              <w:t>4</w:t>
            </w:r>
          </w:p>
        </w:tc>
        <w:tc>
          <w:tcPr>
            <w:tcW w:w="9839" w:type="dxa"/>
            <w:shd w:val="clear" w:color="auto" w:fill="747474" w:themeFill="background2" w:themeFillShade="80"/>
          </w:tcPr>
          <w:p w14:paraId="3C2B748A" w14:textId="0CB26E4E" w:rsidR="008C593C" w:rsidRDefault="00763BA3" w:rsidP="00B635FC">
            <w:pPr>
              <w:tabs>
                <w:tab w:val="left" w:pos="1510"/>
              </w:tabs>
            </w:pPr>
            <w:r>
              <w:t>Next meeting to hear from remaining LAs: West Sussex and Wokingham</w:t>
            </w:r>
          </w:p>
        </w:tc>
        <w:tc>
          <w:tcPr>
            <w:tcW w:w="1515" w:type="dxa"/>
            <w:shd w:val="clear" w:color="auto" w:fill="747474" w:themeFill="background2" w:themeFillShade="80"/>
          </w:tcPr>
          <w:p w14:paraId="6A22A587" w14:textId="56A4A1D8" w:rsidR="008C593C" w:rsidRDefault="00763BA3" w:rsidP="00DF0900">
            <w:pPr>
              <w:contextualSpacing/>
              <w:rPr>
                <w:bCs/>
              </w:rPr>
            </w:pPr>
            <w:r>
              <w:rPr>
                <w:bCs/>
              </w:rPr>
              <w:t>Presenting LAs</w:t>
            </w:r>
          </w:p>
        </w:tc>
        <w:tc>
          <w:tcPr>
            <w:tcW w:w="1403" w:type="dxa"/>
            <w:shd w:val="clear" w:color="auto" w:fill="747474" w:themeFill="background2" w:themeFillShade="80"/>
          </w:tcPr>
          <w:p w14:paraId="4E350C40" w14:textId="50FEBA55" w:rsidR="008C593C" w:rsidRPr="00DF0900" w:rsidRDefault="008C593C" w:rsidP="00DF0900">
            <w:pPr>
              <w:contextualSpacing/>
              <w:rPr>
                <w:bCs/>
              </w:rPr>
            </w:pPr>
            <w:r>
              <w:rPr>
                <w:bCs/>
              </w:rPr>
              <w:t>November 2025</w:t>
            </w:r>
          </w:p>
        </w:tc>
        <w:tc>
          <w:tcPr>
            <w:tcW w:w="1273" w:type="dxa"/>
            <w:shd w:val="clear" w:color="auto" w:fill="747474" w:themeFill="background2" w:themeFillShade="80"/>
          </w:tcPr>
          <w:p w14:paraId="6423D5C7" w14:textId="418A1906" w:rsidR="008C593C" w:rsidRDefault="00E31466" w:rsidP="00DF0900">
            <w:pPr>
              <w:contextualSpacing/>
              <w:rPr>
                <w:bCs/>
              </w:rPr>
            </w:pPr>
            <w:r>
              <w:rPr>
                <w:bCs/>
              </w:rPr>
              <w:t>complete</w:t>
            </w:r>
          </w:p>
        </w:tc>
      </w:tr>
      <w:tr w:rsidR="00763BA3" w14:paraId="655B80C1" w14:textId="77777777" w:rsidTr="00261902">
        <w:tc>
          <w:tcPr>
            <w:tcW w:w="566" w:type="dxa"/>
            <w:shd w:val="clear" w:color="auto" w:fill="747474" w:themeFill="background2" w:themeFillShade="80"/>
          </w:tcPr>
          <w:p w14:paraId="50DBB2A5" w14:textId="02675E02" w:rsidR="00763BA3" w:rsidRDefault="00763BA3" w:rsidP="00DF0900">
            <w:pPr>
              <w:contextualSpacing/>
              <w:rPr>
                <w:b/>
              </w:rPr>
            </w:pPr>
            <w:r>
              <w:rPr>
                <w:b/>
              </w:rPr>
              <w:t>5</w:t>
            </w:r>
          </w:p>
        </w:tc>
        <w:tc>
          <w:tcPr>
            <w:tcW w:w="9839" w:type="dxa"/>
            <w:shd w:val="clear" w:color="auto" w:fill="747474" w:themeFill="background2" w:themeFillShade="80"/>
          </w:tcPr>
          <w:p w14:paraId="176149EC" w14:textId="528E29CC" w:rsidR="00763BA3" w:rsidRDefault="00763BA3" w:rsidP="00B635FC">
            <w:pPr>
              <w:tabs>
                <w:tab w:val="left" w:pos="1510"/>
              </w:tabs>
            </w:pPr>
            <w:r>
              <w:t>SR and RE to collate he case management systems that all LAs are working with so you can join up any conversations with providers.</w:t>
            </w:r>
          </w:p>
        </w:tc>
        <w:tc>
          <w:tcPr>
            <w:tcW w:w="1515" w:type="dxa"/>
            <w:shd w:val="clear" w:color="auto" w:fill="747474" w:themeFill="background2" w:themeFillShade="80"/>
          </w:tcPr>
          <w:p w14:paraId="0A5D9E62" w14:textId="2D43A20D" w:rsidR="00763BA3" w:rsidRDefault="00763BA3" w:rsidP="00DF0900">
            <w:pPr>
              <w:contextualSpacing/>
              <w:rPr>
                <w:bCs/>
              </w:rPr>
            </w:pPr>
            <w:r>
              <w:rPr>
                <w:bCs/>
              </w:rPr>
              <w:t>SR RE</w:t>
            </w:r>
          </w:p>
        </w:tc>
        <w:tc>
          <w:tcPr>
            <w:tcW w:w="1403" w:type="dxa"/>
            <w:shd w:val="clear" w:color="auto" w:fill="747474" w:themeFill="background2" w:themeFillShade="80"/>
          </w:tcPr>
          <w:p w14:paraId="4491B931" w14:textId="5330B233" w:rsidR="00763BA3" w:rsidRDefault="00763BA3" w:rsidP="00DF0900">
            <w:pPr>
              <w:contextualSpacing/>
              <w:rPr>
                <w:bCs/>
              </w:rPr>
            </w:pPr>
            <w:r>
              <w:rPr>
                <w:bCs/>
              </w:rPr>
              <w:t>November 2025</w:t>
            </w:r>
          </w:p>
        </w:tc>
        <w:tc>
          <w:tcPr>
            <w:tcW w:w="1273" w:type="dxa"/>
            <w:shd w:val="clear" w:color="auto" w:fill="747474" w:themeFill="background2" w:themeFillShade="80"/>
          </w:tcPr>
          <w:p w14:paraId="257A715B" w14:textId="3A7CCD8E" w:rsidR="00763BA3" w:rsidRDefault="00E31466" w:rsidP="00DF0900">
            <w:pPr>
              <w:contextualSpacing/>
              <w:rPr>
                <w:bCs/>
              </w:rPr>
            </w:pPr>
            <w:r>
              <w:rPr>
                <w:bCs/>
              </w:rPr>
              <w:t>Complete</w:t>
            </w:r>
          </w:p>
        </w:tc>
      </w:tr>
      <w:tr w:rsidR="00763BA3" w14:paraId="1DF0A9ED" w14:textId="77777777" w:rsidTr="00261902">
        <w:tc>
          <w:tcPr>
            <w:tcW w:w="566" w:type="dxa"/>
            <w:shd w:val="clear" w:color="auto" w:fill="747474" w:themeFill="background2" w:themeFillShade="80"/>
          </w:tcPr>
          <w:p w14:paraId="273EBC7D" w14:textId="34B3AF75" w:rsidR="00763BA3" w:rsidRDefault="00763BA3" w:rsidP="00763BA3">
            <w:pPr>
              <w:contextualSpacing/>
              <w:rPr>
                <w:b/>
              </w:rPr>
            </w:pPr>
            <w:r>
              <w:rPr>
                <w:b/>
              </w:rPr>
              <w:t>6</w:t>
            </w:r>
          </w:p>
        </w:tc>
        <w:tc>
          <w:tcPr>
            <w:tcW w:w="9839" w:type="dxa"/>
            <w:shd w:val="clear" w:color="auto" w:fill="747474" w:themeFill="background2" w:themeFillShade="80"/>
          </w:tcPr>
          <w:p w14:paraId="2CD1D064" w14:textId="0BD31972" w:rsidR="00763BA3" w:rsidRDefault="00763BA3" w:rsidP="00763BA3">
            <w:pPr>
              <w:tabs>
                <w:tab w:val="left" w:pos="1510"/>
              </w:tabs>
            </w:pPr>
            <w:r>
              <w:t>West Sussex and Milton Keynes to share family network meeting guidance</w:t>
            </w:r>
          </w:p>
        </w:tc>
        <w:tc>
          <w:tcPr>
            <w:tcW w:w="1515" w:type="dxa"/>
            <w:shd w:val="clear" w:color="auto" w:fill="747474" w:themeFill="background2" w:themeFillShade="80"/>
          </w:tcPr>
          <w:p w14:paraId="08346306" w14:textId="6831B8A0" w:rsidR="00763BA3" w:rsidRDefault="00763BA3" w:rsidP="00763BA3">
            <w:pPr>
              <w:contextualSpacing/>
              <w:rPr>
                <w:bCs/>
              </w:rPr>
            </w:pPr>
            <w:r>
              <w:rPr>
                <w:bCs/>
              </w:rPr>
              <w:t>DE JT</w:t>
            </w:r>
          </w:p>
        </w:tc>
        <w:tc>
          <w:tcPr>
            <w:tcW w:w="1403" w:type="dxa"/>
            <w:shd w:val="clear" w:color="auto" w:fill="747474" w:themeFill="background2" w:themeFillShade="80"/>
          </w:tcPr>
          <w:p w14:paraId="5CC796B9" w14:textId="52AA50FF" w:rsidR="00763BA3" w:rsidRDefault="00763BA3" w:rsidP="00763BA3">
            <w:pPr>
              <w:contextualSpacing/>
              <w:rPr>
                <w:bCs/>
              </w:rPr>
            </w:pPr>
            <w:r>
              <w:rPr>
                <w:bCs/>
              </w:rPr>
              <w:t>November 2025</w:t>
            </w:r>
          </w:p>
        </w:tc>
        <w:tc>
          <w:tcPr>
            <w:tcW w:w="1273" w:type="dxa"/>
            <w:shd w:val="clear" w:color="auto" w:fill="747474" w:themeFill="background2" w:themeFillShade="80"/>
          </w:tcPr>
          <w:p w14:paraId="4431CCE0" w14:textId="643AFB9D" w:rsidR="00763BA3" w:rsidRDefault="00261902" w:rsidP="00763BA3">
            <w:pPr>
              <w:contextualSpacing/>
              <w:rPr>
                <w:bCs/>
              </w:rPr>
            </w:pPr>
            <w:r>
              <w:rPr>
                <w:bCs/>
              </w:rPr>
              <w:t>Complete</w:t>
            </w:r>
          </w:p>
          <w:p w14:paraId="6FEE243A" w14:textId="42AE856F" w:rsidR="00261902" w:rsidRDefault="00261902" w:rsidP="00763BA3">
            <w:pPr>
              <w:contextualSpacing/>
              <w:rPr>
                <w:bCs/>
              </w:rPr>
            </w:pPr>
          </w:p>
        </w:tc>
      </w:tr>
      <w:tr w:rsidR="00763BA3" w14:paraId="69ADCC52" w14:textId="77777777" w:rsidTr="00261902">
        <w:tc>
          <w:tcPr>
            <w:tcW w:w="566" w:type="dxa"/>
            <w:shd w:val="clear" w:color="auto" w:fill="747474" w:themeFill="background2" w:themeFillShade="80"/>
          </w:tcPr>
          <w:p w14:paraId="3F545D2A" w14:textId="47C10ADF" w:rsidR="00763BA3" w:rsidRDefault="00763BA3" w:rsidP="00763BA3">
            <w:pPr>
              <w:contextualSpacing/>
              <w:rPr>
                <w:b/>
              </w:rPr>
            </w:pPr>
            <w:r>
              <w:rPr>
                <w:b/>
              </w:rPr>
              <w:t>7</w:t>
            </w:r>
          </w:p>
        </w:tc>
        <w:tc>
          <w:tcPr>
            <w:tcW w:w="9839" w:type="dxa"/>
            <w:shd w:val="clear" w:color="auto" w:fill="747474" w:themeFill="background2" w:themeFillShade="80"/>
          </w:tcPr>
          <w:p w14:paraId="2286EE8C" w14:textId="29B2B471" w:rsidR="00763BA3" w:rsidRDefault="00763BA3" w:rsidP="00763BA3">
            <w:pPr>
              <w:tabs>
                <w:tab w:val="left" w:pos="1510"/>
              </w:tabs>
            </w:pPr>
            <w:r>
              <w:t xml:space="preserve">SR and RE </w:t>
            </w:r>
            <w:proofErr w:type="gramStart"/>
            <w:r>
              <w:t>to  benchmark</w:t>
            </w:r>
            <w:proofErr w:type="gramEnd"/>
            <w:r>
              <w:t xml:space="preserve"> conversion of PLO to proceedings in LA with established FGC vs those </w:t>
            </w:r>
            <w:proofErr w:type="gramStart"/>
            <w:r>
              <w:t>without .</w:t>
            </w:r>
            <w:proofErr w:type="gramEnd"/>
            <w:r>
              <w:t xml:space="preserve"> 43% PLO don’t go to court proceedings in Milton Keynes where FGCs are well embedded with 80% take up.</w:t>
            </w:r>
          </w:p>
        </w:tc>
        <w:tc>
          <w:tcPr>
            <w:tcW w:w="1515" w:type="dxa"/>
            <w:shd w:val="clear" w:color="auto" w:fill="747474" w:themeFill="background2" w:themeFillShade="80"/>
          </w:tcPr>
          <w:p w14:paraId="2D7A45FB" w14:textId="29C74CA3" w:rsidR="00763BA3" w:rsidRDefault="00763BA3" w:rsidP="00763BA3">
            <w:pPr>
              <w:contextualSpacing/>
              <w:rPr>
                <w:bCs/>
              </w:rPr>
            </w:pPr>
            <w:r>
              <w:rPr>
                <w:bCs/>
              </w:rPr>
              <w:t>SR RE</w:t>
            </w:r>
          </w:p>
        </w:tc>
        <w:tc>
          <w:tcPr>
            <w:tcW w:w="1403" w:type="dxa"/>
            <w:shd w:val="clear" w:color="auto" w:fill="747474" w:themeFill="background2" w:themeFillShade="80"/>
          </w:tcPr>
          <w:p w14:paraId="46DB6ED9" w14:textId="3E6F16A1" w:rsidR="00763BA3" w:rsidRDefault="00763BA3" w:rsidP="00763BA3">
            <w:pPr>
              <w:contextualSpacing/>
              <w:rPr>
                <w:bCs/>
              </w:rPr>
            </w:pPr>
            <w:r>
              <w:rPr>
                <w:bCs/>
              </w:rPr>
              <w:t>November 2025</w:t>
            </w:r>
          </w:p>
        </w:tc>
        <w:tc>
          <w:tcPr>
            <w:tcW w:w="1273" w:type="dxa"/>
            <w:shd w:val="clear" w:color="auto" w:fill="747474" w:themeFill="background2" w:themeFillShade="80"/>
          </w:tcPr>
          <w:p w14:paraId="6B384B4D" w14:textId="754D836D" w:rsidR="00763BA3" w:rsidRDefault="00E31466" w:rsidP="00763BA3">
            <w:pPr>
              <w:contextualSpacing/>
              <w:rPr>
                <w:bCs/>
              </w:rPr>
            </w:pPr>
            <w:r>
              <w:rPr>
                <w:bCs/>
              </w:rPr>
              <w:t>Complete</w:t>
            </w:r>
          </w:p>
        </w:tc>
      </w:tr>
      <w:tr w:rsidR="00E31466" w14:paraId="2ACA510D" w14:textId="77777777" w:rsidTr="06462666">
        <w:tc>
          <w:tcPr>
            <w:tcW w:w="566" w:type="dxa"/>
            <w:shd w:val="clear" w:color="auto" w:fill="FFFFFF" w:themeFill="background1"/>
          </w:tcPr>
          <w:p w14:paraId="17294104" w14:textId="2E943717" w:rsidR="00E31466" w:rsidRDefault="00E31466" w:rsidP="00763BA3">
            <w:pPr>
              <w:contextualSpacing/>
              <w:rPr>
                <w:b/>
              </w:rPr>
            </w:pPr>
            <w:r>
              <w:rPr>
                <w:b/>
              </w:rPr>
              <w:t>8</w:t>
            </w:r>
          </w:p>
        </w:tc>
        <w:tc>
          <w:tcPr>
            <w:tcW w:w="9839" w:type="dxa"/>
            <w:shd w:val="clear" w:color="auto" w:fill="FFFFFF" w:themeFill="background1"/>
          </w:tcPr>
          <w:p w14:paraId="24AFE955" w14:textId="7603F9C8" w:rsidR="00E31466" w:rsidRDefault="00E31466" w:rsidP="00763BA3">
            <w:pPr>
              <w:tabs>
                <w:tab w:val="left" w:pos="1510"/>
              </w:tabs>
            </w:pPr>
            <w:r>
              <w:t>SH offered to meet up with EK to share more about Hants journey to move family practitioners</w:t>
            </w:r>
            <w:r w:rsidR="00261902">
              <w:t xml:space="preserve">. EK to contact </w:t>
            </w:r>
          </w:p>
        </w:tc>
        <w:tc>
          <w:tcPr>
            <w:tcW w:w="1515" w:type="dxa"/>
            <w:shd w:val="clear" w:color="auto" w:fill="FFFFFF" w:themeFill="background1"/>
          </w:tcPr>
          <w:p w14:paraId="0B97222C" w14:textId="000F1A7C" w:rsidR="00E31466" w:rsidRDefault="00E31466" w:rsidP="00763BA3">
            <w:pPr>
              <w:contextualSpacing/>
              <w:rPr>
                <w:bCs/>
              </w:rPr>
            </w:pPr>
            <w:r>
              <w:rPr>
                <w:bCs/>
              </w:rPr>
              <w:t>EK</w:t>
            </w:r>
          </w:p>
        </w:tc>
        <w:tc>
          <w:tcPr>
            <w:tcW w:w="1403" w:type="dxa"/>
            <w:shd w:val="clear" w:color="auto" w:fill="FFFFFF" w:themeFill="background1"/>
          </w:tcPr>
          <w:p w14:paraId="40069F9E" w14:textId="6C2EF7DC" w:rsidR="00E31466" w:rsidRDefault="00E31466" w:rsidP="00763BA3">
            <w:pPr>
              <w:contextualSpacing/>
              <w:rPr>
                <w:bCs/>
              </w:rPr>
            </w:pPr>
            <w:r>
              <w:rPr>
                <w:bCs/>
              </w:rPr>
              <w:t>Dec 2025</w:t>
            </w:r>
          </w:p>
        </w:tc>
        <w:tc>
          <w:tcPr>
            <w:tcW w:w="1273" w:type="dxa"/>
            <w:shd w:val="clear" w:color="auto" w:fill="FFFFFF" w:themeFill="background1"/>
          </w:tcPr>
          <w:p w14:paraId="59263BA0" w14:textId="1909ACF7" w:rsidR="00E31466" w:rsidRDefault="00E31466" w:rsidP="00763BA3">
            <w:pPr>
              <w:contextualSpacing/>
              <w:rPr>
                <w:bCs/>
              </w:rPr>
            </w:pPr>
            <w:r>
              <w:rPr>
                <w:bCs/>
              </w:rPr>
              <w:t>Open</w:t>
            </w:r>
          </w:p>
        </w:tc>
      </w:tr>
      <w:tr w:rsidR="00E31466" w14:paraId="60E8387C" w14:textId="77777777" w:rsidTr="00261902">
        <w:tc>
          <w:tcPr>
            <w:tcW w:w="566" w:type="dxa"/>
            <w:shd w:val="clear" w:color="auto" w:fill="747474" w:themeFill="background2" w:themeFillShade="80"/>
          </w:tcPr>
          <w:p w14:paraId="69968385" w14:textId="47CBE335" w:rsidR="00E31466" w:rsidRDefault="00E31466" w:rsidP="00E31466">
            <w:pPr>
              <w:contextualSpacing/>
              <w:rPr>
                <w:b/>
              </w:rPr>
            </w:pPr>
            <w:r>
              <w:rPr>
                <w:b/>
              </w:rPr>
              <w:t>9</w:t>
            </w:r>
          </w:p>
        </w:tc>
        <w:tc>
          <w:tcPr>
            <w:tcW w:w="9839" w:type="dxa"/>
            <w:shd w:val="clear" w:color="auto" w:fill="747474" w:themeFill="background2" w:themeFillShade="80"/>
          </w:tcPr>
          <w:p w14:paraId="4E407E40" w14:textId="65A7164D" w:rsidR="00E31466" w:rsidRDefault="00E31466" w:rsidP="00E31466">
            <w:pPr>
              <w:tabs>
                <w:tab w:val="left" w:pos="1510"/>
              </w:tabs>
            </w:pPr>
            <w:r>
              <w:t>SR and RE to set up subgroups of the LAs with the same case management system with a focus on reforms</w:t>
            </w:r>
          </w:p>
        </w:tc>
        <w:tc>
          <w:tcPr>
            <w:tcW w:w="1515" w:type="dxa"/>
            <w:shd w:val="clear" w:color="auto" w:fill="747474" w:themeFill="background2" w:themeFillShade="80"/>
          </w:tcPr>
          <w:p w14:paraId="1B383D89" w14:textId="74610244" w:rsidR="00E31466" w:rsidRDefault="00E31466" w:rsidP="00E31466">
            <w:pPr>
              <w:contextualSpacing/>
              <w:rPr>
                <w:bCs/>
              </w:rPr>
            </w:pPr>
            <w:r>
              <w:rPr>
                <w:bCs/>
              </w:rPr>
              <w:t>SR RE</w:t>
            </w:r>
          </w:p>
        </w:tc>
        <w:tc>
          <w:tcPr>
            <w:tcW w:w="1403" w:type="dxa"/>
            <w:shd w:val="clear" w:color="auto" w:fill="747474" w:themeFill="background2" w:themeFillShade="80"/>
          </w:tcPr>
          <w:p w14:paraId="579D73E7" w14:textId="209DAF9E" w:rsidR="00E31466" w:rsidRDefault="00E31466" w:rsidP="00E31466">
            <w:pPr>
              <w:contextualSpacing/>
              <w:rPr>
                <w:bCs/>
              </w:rPr>
            </w:pPr>
            <w:r>
              <w:rPr>
                <w:bCs/>
              </w:rPr>
              <w:t>Dec 2025</w:t>
            </w:r>
          </w:p>
        </w:tc>
        <w:tc>
          <w:tcPr>
            <w:tcW w:w="1273" w:type="dxa"/>
            <w:shd w:val="clear" w:color="auto" w:fill="747474" w:themeFill="background2" w:themeFillShade="80"/>
          </w:tcPr>
          <w:p w14:paraId="4E745B87" w14:textId="73DA48C3" w:rsidR="00E31466" w:rsidRDefault="00261902" w:rsidP="00E31466">
            <w:pPr>
              <w:contextualSpacing/>
              <w:rPr>
                <w:bCs/>
              </w:rPr>
            </w:pPr>
            <w:r>
              <w:rPr>
                <w:bCs/>
              </w:rPr>
              <w:t>complete</w:t>
            </w:r>
          </w:p>
        </w:tc>
      </w:tr>
      <w:tr w:rsidR="00E31466" w14:paraId="48784E33" w14:textId="77777777" w:rsidTr="00261902">
        <w:tc>
          <w:tcPr>
            <w:tcW w:w="566" w:type="dxa"/>
            <w:shd w:val="clear" w:color="auto" w:fill="747474" w:themeFill="background2" w:themeFillShade="80"/>
          </w:tcPr>
          <w:p w14:paraId="40DB4BEC" w14:textId="67DE59B6" w:rsidR="00E31466" w:rsidRDefault="00E31466" w:rsidP="00E31466">
            <w:pPr>
              <w:contextualSpacing/>
              <w:rPr>
                <w:b/>
              </w:rPr>
            </w:pPr>
            <w:r>
              <w:rPr>
                <w:b/>
              </w:rPr>
              <w:t>10</w:t>
            </w:r>
          </w:p>
        </w:tc>
        <w:tc>
          <w:tcPr>
            <w:tcW w:w="9839" w:type="dxa"/>
            <w:shd w:val="clear" w:color="auto" w:fill="747474" w:themeFill="background2" w:themeFillShade="80"/>
          </w:tcPr>
          <w:p w14:paraId="37FC7513" w14:textId="7E7C514A" w:rsidR="00E31466" w:rsidRPr="00E31466" w:rsidRDefault="00E31466" w:rsidP="00E31466">
            <w:pPr>
              <w:tabs>
                <w:tab w:val="left" w:pos="1510"/>
              </w:tabs>
            </w:pPr>
            <w:r w:rsidRPr="00E31466">
              <w:t>Jan meeting to focus on MACPTs with Clare chamberlain, and Hants family worker model</w:t>
            </w:r>
          </w:p>
        </w:tc>
        <w:tc>
          <w:tcPr>
            <w:tcW w:w="1515" w:type="dxa"/>
            <w:shd w:val="clear" w:color="auto" w:fill="747474" w:themeFill="background2" w:themeFillShade="80"/>
          </w:tcPr>
          <w:p w14:paraId="6B2439A9" w14:textId="73F1424C" w:rsidR="00E31466" w:rsidRDefault="00E31466" w:rsidP="00E31466">
            <w:pPr>
              <w:contextualSpacing/>
              <w:rPr>
                <w:bCs/>
              </w:rPr>
            </w:pPr>
            <w:r>
              <w:rPr>
                <w:bCs/>
              </w:rPr>
              <w:t>SR RE</w:t>
            </w:r>
          </w:p>
        </w:tc>
        <w:tc>
          <w:tcPr>
            <w:tcW w:w="1403" w:type="dxa"/>
            <w:shd w:val="clear" w:color="auto" w:fill="747474" w:themeFill="background2" w:themeFillShade="80"/>
          </w:tcPr>
          <w:p w14:paraId="67C4E77A" w14:textId="0989404B" w:rsidR="00E31466" w:rsidRDefault="00E31466" w:rsidP="00E31466">
            <w:pPr>
              <w:contextualSpacing/>
              <w:rPr>
                <w:bCs/>
              </w:rPr>
            </w:pPr>
            <w:r>
              <w:rPr>
                <w:bCs/>
              </w:rPr>
              <w:t>Dec 2025</w:t>
            </w:r>
          </w:p>
        </w:tc>
        <w:tc>
          <w:tcPr>
            <w:tcW w:w="1273" w:type="dxa"/>
            <w:shd w:val="clear" w:color="auto" w:fill="747474" w:themeFill="background2" w:themeFillShade="80"/>
          </w:tcPr>
          <w:p w14:paraId="07F1207F" w14:textId="4173DEC6" w:rsidR="00E31466" w:rsidRDefault="00261902" w:rsidP="00E31466">
            <w:pPr>
              <w:contextualSpacing/>
              <w:rPr>
                <w:bCs/>
              </w:rPr>
            </w:pPr>
            <w:r>
              <w:rPr>
                <w:bCs/>
              </w:rPr>
              <w:t>complete</w:t>
            </w:r>
          </w:p>
        </w:tc>
      </w:tr>
      <w:tr w:rsidR="00E31466" w14:paraId="791E4C72" w14:textId="77777777" w:rsidTr="06462666">
        <w:tc>
          <w:tcPr>
            <w:tcW w:w="566" w:type="dxa"/>
            <w:shd w:val="clear" w:color="auto" w:fill="FFFFFF" w:themeFill="background1"/>
          </w:tcPr>
          <w:p w14:paraId="15EA1B37" w14:textId="33D8BF06" w:rsidR="00E31466" w:rsidRDefault="00E31466" w:rsidP="00E31466">
            <w:pPr>
              <w:contextualSpacing/>
              <w:rPr>
                <w:b/>
              </w:rPr>
            </w:pPr>
            <w:r>
              <w:rPr>
                <w:b/>
              </w:rPr>
              <w:t>11</w:t>
            </w:r>
          </w:p>
        </w:tc>
        <w:tc>
          <w:tcPr>
            <w:tcW w:w="9839" w:type="dxa"/>
            <w:shd w:val="clear" w:color="auto" w:fill="FFFFFF" w:themeFill="background1"/>
          </w:tcPr>
          <w:p w14:paraId="5122C015" w14:textId="496EB70E" w:rsidR="00E31466" w:rsidRPr="00E31466" w:rsidRDefault="00E31466" w:rsidP="00E31466">
            <w:r>
              <w:t xml:space="preserve">future item on sharing content from DfE meetings. Consider whether to invite Jamie (DfE) to </w:t>
            </w:r>
            <w:proofErr w:type="gramStart"/>
            <w:r>
              <w:t>this  meeting</w:t>
            </w:r>
            <w:proofErr w:type="gramEnd"/>
            <w:r>
              <w:t xml:space="preserve"> in Spring </w:t>
            </w:r>
          </w:p>
        </w:tc>
        <w:tc>
          <w:tcPr>
            <w:tcW w:w="1515" w:type="dxa"/>
            <w:shd w:val="clear" w:color="auto" w:fill="FFFFFF" w:themeFill="background1"/>
          </w:tcPr>
          <w:p w14:paraId="3D2FBAD3" w14:textId="6937050E" w:rsidR="00E31466" w:rsidRDefault="00E31466" w:rsidP="00E31466">
            <w:pPr>
              <w:contextualSpacing/>
              <w:rPr>
                <w:bCs/>
              </w:rPr>
            </w:pPr>
            <w:r>
              <w:rPr>
                <w:bCs/>
              </w:rPr>
              <w:t>SR RE</w:t>
            </w:r>
          </w:p>
        </w:tc>
        <w:tc>
          <w:tcPr>
            <w:tcW w:w="1403" w:type="dxa"/>
            <w:shd w:val="clear" w:color="auto" w:fill="FFFFFF" w:themeFill="background1"/>
          </w:tcPr>
          <w:p w14:paraId="6B1EF848" w14:textId="7EC9E3EA" w:rsidR="00E31466" w:rsidRDefault="00E31466" w:rsidP="00E31466">
            <w:pPr>
              <w:contextualSpacing/>
              <w:rPr>
                <w:bCs/>
              </w:rPr>
            </w:pPr>
            <w:r>
              <w:rPr>
                <w:bCs/>
              </w:rPr>
              <w:t>Dec 2025</w:t>
            </w:r>
          </w:p>
        </w:tc>
        <w:tc>
          <w:tcPr>
            <w:tcW w:w="1273" w:type="dxa"/>
            <w:shd w:val="clear" w:color="auto" w:fill="FFFFFF" w:themeFill="background1"/>
          </w:tcPr>
          <w:p w14:paraId="1E27D4E0" w14:textId="2239958D" w:rsidR="00E31466" w:rsidRDefault="00E31466" w:rsidP="00E31466">
            <w:pPr>
              <w:contextualSpacing/>
              <w:rPr>
                <w:bCs/>
              </w:rPr>
            </w:pPr>
            <w:r>
              <w:rPr>
                <w:bCs/>
              </w:rPr>
              <w:t>Open</w:t>
            </w:r>
          </w:p>
        </w:tc>
      </w:tr>
      <w:tr w:rsidR="00E31466" w14:paraId="6B03BC6D" w14:textId="77777777" w:rsidTr="06462666">
        <w:tc>
          <w:tcPr>
            <w:tcW w:w="566" w:type="dxa"/>
            <w:shd w:val="clear" w:color="auto" w:fill="FFFFFF" w:themeFill="background1"/>
          </w:tcPr>
          <w:p w14:paraId="3EBC4009" w14:textId="316D4EA4" w:rsidR="00E31466" w:rsidRDefault="00E31466" w:rsidP="00E31466">
            <w:pPr>
              <w:contextualSpacing/>
              <w:rPr>
                <w:b/>
              </w:rPr>
            </w:pPr>
            <w:r>
              <w:rPr>
                <w:b/>
              </w:rPr>
              <w:t>12</w:t>
            </w:r>
          </w:p>
        </w:tc>
        <w:tc>
          <w:tcPr>
            <w:tcW w:w="9839" w:type="dxa"/>
            <w:shd w:val="clear" w:color="auto" w:fill="FFFFFF" w:themeFill="background1"/>
          </w:tcPr>
          <w:p w14:paraId="56F16206" w14:textId="1C978A00" w:rsidR="00E31466" w:rsidRDefault="00E31466" w:rsidP="00E31466">
            <w:pPr>
              <w:rPr>
                <w:b/>
                <w:bCs/>
              </w:rPr>
            </w:pPr>
            <w:r>
              <w:t>All to submit DfE delivery plan part two to SR and RE to present back to the group</w:t>
            </w:r>
          </w:p>
        </w:tc>
        <w:tc>
          <w:tcPr>
            <w:tcW w:w="1515" w:type="dxa"/>
            <w:shd w:val="clear" w:color="auto" w:fill="FFFFFF" w:themeFill="background1"/>
          </w:tcPr>
          <w:p w14:paraId="054A6855" w14:textId="5AA926B0" w:rsidR="00E31466" w:rsidRDefault="00E31466" w:rsidP="00E31466">
            <w:pPr>
              <w:contextualSpacing/>
              <w:rPr>
                <w:bCs/>
              </w:rPr>
            </w:pPr>
            <w:r>
              <w:rPr>
                <w:bCs/>
              </w:rPr>
              <w:t>All</w:t>
            </w:r>
          </w:p>
        </w:tc>
        <w:tc>
          <w:tcPr>
            <w:tcW w:w="1403" w:type="dxa"/>
            <w:shd w:val="clear" w:color="auto" w:fill="FFFFFF" w:themeFill="background1"/>
          </w:tcPr>
          <w:p w14:paraId="12914ACA" w14:textId="3462C503" w:rsidR="00E31466" w:rsidRDefault="00E31466" w:rsidP="00E31466">
            <w:pPr>
              <w:contextualSpacing/>
              <w:rPr>
                <w:bCs/>
              </w:rPr>
            </w:pPr>
            <w:r>
              <w:rPr>
                <w:bCs/>
              </w:rPr>
              <w:t>Dec 2025</w:t>
            </w:r>
          </w:p>
        </w:tc>
        <w:tc>
          <w:tcPr>
            <w:tcW w:w="1273" w:type="dxa"/>
            <w:shd w:val="clear" w:color="auto" w:fill="FFFFFF" w:themeFill="background1"/>
          </w:tcPr>
          <w:p w14:paraId="6AEEECEA" w14:textId="4C2CDA7B" w:rsidR="00E31466" w:rsidRDefault="00E31466" w:rsidP="00E31466">
            <w:pPr>
              <w:contextualSpacing/>
              <w:rPr>
                <w:bCs/>
              </w:rPr>
            </w:pPr>
            <w:r>
              <w:rPr>
                <w:bCs/>
              </w:rPr>
              <w:t>Open</w:t>
            </w:r>
          </w:p>
        </w:tc>
      </w:tr>
      <w:tr w:rsidR="00261902" w14:paraId="18A77F2B" w14:textId="77777777" w:rsidTr="06462666">
        <w:tc>
          <w:tcPr>
            <w:tcW w:w="566" w:type="dxa"/>
            <w:shd w:val="clear" w:color="auto" w:fill="FFFFFF" w:themeFill="background1"/>
          </w:tcPr>
          <w:p w14:paraId="522991AE" w14:textId="1215B2BA" w:rsidR="00261902" w:rsidRDefault="00261902" w:rsidP="00E31466">
            <w:pPr>
              <w:contextualSpacing/>
              <w:rPr>
                <w:b/>
              </w:rPr>
            </w:pPr>
            <w:r>
              <w:rPr>
                <w:b/>
              </w:rPr>
              <w:t>13</w:t>
            </w:r>
          </w:p>
        </w:tc>
        <w:tc>
          <w:tcPr>
            <w:tcW w:w="9839" w:type="dxa"/>
            <w:shd w:val="clear" w:color="auto" w:fill="FFFFFF" w:themeFill="background1"/>
          </w:tcPr>
          <w:p w14:paraId="1FC69BDA" w14:textId="091FE605" w:rsidR="00261902" w:rsidRDefault="00E676F5" w:rsidP="00E31466">
            <w:r>
              <w:t>SR and RE to develop proposal around contextual risk for DfE funding via SESLIP with a focus on a conference/practice sharing in 2026/27</w:t>
            </w:r>
          </w:p>
        </w:tc>
        <w:tc>
          <w:tcPr>
            <w:tcW w:w="1515" w:type="dxa"/>
            <w:shd w:val="clear" w:color="auto" w:fill="FFFFFF" w:themeFill="background1"/>
          </w:tcPr>
          <w:p w14:paraId="2155B34B" w14:textId="116116F6" w:rsidR="00261902" w:rsidRDefault="00E676F5" w:rsidP="00E31466">
            <w:pPr>
              <w:contextualSpacing/>
              <w:rPr>
                <w:bCs/>
              </w:rPr>
            </w:pPr>
            <w:r>
              <w:rPr>
                <w:bCs/>
              </w:rPr>
              <w:t>SR RE</w:t>
            </w:r>
          </w:p>
        </w:tc>
        <w:tc>
          <w:tcPr>
            <w:tcW w:w="1403" w:type="dxa"/>
            <w:shd w:val="clear" w:color="auto" w:fill="FFFFFF" w:themeFill="background1"/>
          </w:tcPr>
          <w:p w14:paraId="6FCC0774" w14:textId="48B1DD88" w:rsidR="00261902" w:rsidRDefault="00E676F5" w:rsidP="00E31466">
            <w:pPr>
              <w:contextualSpacing/>
              <w:rPr>
                <w:bCs/>
              </w:rPr>
            </w:pPr>
            <w:r>
              <w:rPr>
                <w:bCs/>
              </w:rPr>
              <w:t>Jan 2026</w:t>
            </w:r>
          </w:p>
        </w:tc>
        <w:tc>
          <w:tcPr>
            <w:tcW w:w="1273" w:type="dxa"/>
            <w:shd w:val="clear" w:color="auto" w:fill="FFFFFF" w:themeFill="background1"/>
          </w:tcPr>
          <w:p w14:paraId="0146EAB9" w14:textId="31EFA12A" w:rsidR="00261902" w:rsidRDefault="00E676F5" w:rsidP="00E31466">
            <w:pPr>
              <w:contextualSpacing/>
              <w:rPr>
                <w:bCs/>
              </w:rPr>
            </w:pPr>
            <w:r>
              <w:rPr>
                <w:bCs/>
              </w:rPr>
              <w:t>Open</w:t>
            </w:r>
          </w:p>
        </w:tc>
      </w:tr>
    </w:tbl>
    <w:p w14:paraId="28F0B502" w14:textId="296A0BED" w:rsidR="0072434E" w:rsidRPr="00BC65C1" w:rsidRDefault="0072434E" w:rsidP="005F0AD6"/>
    <w:sectPr w:rsidR="0072434E" w:rsidRPr="00BC65C1" w:rsidSect="00346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altName w:val="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AB6"/>
    <w:multiLevelType w:val="hybridMultilevel"/>
    <w:tmpl w:val="4A1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760B"/>
    <w:multiLevelType w:val="hybridMultilevel"/>
    <w:tmpl w:val="96222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6A3DC9"/>
    <w:multiLevelType w:val="hybridMultilevel"/>
    <w:tmpl w:val="21C2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22819"/>
    <w:multiLevelType w:val="hybridMultilevel"/>
    <w:tmpl w:val="1D023738"/>
    <w:lvl w:ilvl="0" w:tplc="B680DDFC">
      <w:start w:val="1"/>
      <w:numFmt w:val="bullet"/>
      <w:lvlText w:val="•"/>
      <w:lvlJc w:val="left"/>
      <w:pPr>
        <w:tabs>
          <w:tab w:val="num" w:pos="720"/>
        </w:tabs>
        <w:ind w:left="720" w:hanging="360"/>
      </w:pPr>
      <w:rPr>
        <w:rFonts w:ascii="Arial" w:hAnsi="Arial" w:hint="default"/>
      </w:rPr>
    </w:lvl>
    <w:lvl w:ilvl="1" w:tplc="8F0C4FC0" w:tentative="1">
      <w:start w:val="1"/>
      <w:numFmt w:val="bullet"/>
      <w:lvlText w:val="•"/>
      <w:lvlJc w:val="left"/>
      <w:pPr>
        <w:tabs>
          <w:tab w:val="num" w:pos="1440"/>
        </w:tabs>
        <w:ind w:left="1440" w:hanging="360"/>
      </w:pPr>
      <w:rPr>
        <w:rFonts w:ascii="Arial" w:hAnsi="Arial" w:hint="default"/>
      </w:rPr>
    </w:lvl>
    <w:lvl w:ilvl="2" w:tplc="F79CD036" w:tentative="1">
      <w:start w:val="1"/>
      <w:numFmt w:val="bullet"/>
      <w:lvlText w:val="•"/>
      <w:lvlJc w:val="left"/>
      <w:pPr>
        <w:tabs>
          <w:tab w:val="num" w:pos="2160"/>
        </w:tabs>
        <w:ind w:left="2160" w:hanging="360"/>
      </w:pPr>
      <w:rPr>
        <w:rFonts w:ascii="Arial" w:hAnsi="Arial" w:hint="default"/>
      </w:rPr>
    </w:lvl>
    <w:lvl w:ilvl="3" w:tplc="39B66D7A" w:tentative="1">
      <w:start w:val="1"/>
      <w:numFmt w:val="bullet"/>
      <w:lvlText w:val="•"/>
      <w:lvlJc w:val="left"/>
      <w:pPr>
        <w:tabs>
          <w:tab w:val="num" w:pos="2880"/>
        </w:tabs>
        <w:ind w:left="2880" w:hanging="360"/>
      </w:pPr>
      <w:rPr>
        <w:rFonts w:ascii="Arial" w:hAnsi="Arial" w:hint="default"/>
      </w:rPr>
    </w:lvl>
    <w:lvl w:ilvl="4" w:tplc="5D6A4636" w:tentative="1">
      <w:start w:val="1"/>
      <w:numFmt w:val="bullet"/>
      <w:lvlText w:val="•"/>
      <w:lvlJc w:val="left"/>
      <w:pPr>
        <w:tabs>
          <w:tab w:val="num" w:pos="3600"/>
        </w:tabs>
        <w:ind w:left="3600" w:hanging="360"/>
      </w:pPr>
      <w:rPr>
        <w:rFonts w:ascii="Arial" w:hAnsi="Arial" w:hint="default"/>
      </w:rPr>
    </w:lvl>
    <w:lvl w:ilvl="5" w:tplc="14880968" w:tentative="1">
      <w:start w:val="1"/>
      <w:numFmt w:val="bullet"/>
      <w:lvlText w:val="•"/>
      <w:lvlJc w:val="left"/>
      <w:pPr>
        <w:tabs>
          <w:tab w:val="num" w:pos="4320"/>
        </w:tabs>
        <w:ind w:left="4320" w:hanging="360"/>
      </w:pPr>
      <w:rPr>
        <w:rFonts w:ascii="Arial" w:hAnsi="Arial" w:hint="default"/>
      </w:rPr>
    </w:lvl>
    <w:lvl w:ilvl="6" w:tplc="216C8082" w:tentative="1">
      <w:start w:val="1"/>
      <w:numFmt w:val="bullet"/>
      <w:lvlText w:val="•"/>
      <w:lvlJc w:val="left"/>
      <w:pPr>
        <w:tabs>
          <w:tab w:val="num" w:pos="5040"/>
        </w:tabs>
        <w:ind w:left="5040" w:hanging="360"/>
      </w:pPr>
      <w:rPr>
        <w:rFonts w:ascii="Arial" w:hAnsi="Arial" w:hint="default"/>
      </w:rPr>
    </w:lvl>
    <w:lvl w:ilvl="7" w:tplc="57D63584" w:tentative="1">
      <w:start w:val="1"/>
      <w:numFmt w:val="bullet"/>
      <w:lvlText w:val="•"/>
      <w:lvlJc w:val="left"/>
      <w:pPr>
        <w:tabs>
          <w:tab w:val="num" w:pos="5760"/>
        </w:tabs>
        <w:ind w:left="5760" w:hanging="360"/>
      </w:pPr>
      <w:rPr>
        <w:rFonts w:ascii="Arial" w:hAnsi="Arial" w:hint="default"/>
      </w:rPr>
    </w:lvl>
    <w:lvl w:ilvl="8" w:tplc="6AF24A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6D523C"/>
    <w:multiLevelType w:val="hybridMultilevel"/>
    <w:tmpl w:val="FD46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57482"/>
    <w:multiLevelType w:val="hybridMultilevel"/>
    <w:tmpl w:val="EBCA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F0FE7"/>
    <w:multiLevelType w:val="hybridMultilevel"/>
    <w:tmpl w:val="9B4EA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6045FB"/>
    <w:multiLevelType w:val="hybridMultilevel"/>
    <w:tmpl w:val="E62A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136C9"/>
    <w:multiLevelType w:val="hybridMultilevel"/>
    <w:tmpl w:val="E6C009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E4216B"/>
    <w:multiLevelType w:val="hybridMultilevel"/>
    <w:tmpl w:val="801A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250B4"/>
    <w:multiLevelType w:val="hybridMultilevel"/>
    <w:tmpl w:val="9A1ED9AE"/>
    <w:lvl w:ilvl="0" w:tplc="8D6E17AE">
      <w:start w:val="1"/>
      <w:numFmt w:val="bullet"/>
      <w:lvlText w:val="•"/>
      <w:lvlJc w:val="left"/>
      <w:pPr>
        <w:tabs>
          <w:tab w:val="num" w:pos="720"/>
        </w:tabs>
        <w:ind w:left="720" w:hanging="360"/>
      </w:pPr>
      <w:rPr>
        <w:rFonts w:ascii="Arial" w:hAnsi="Arial" w:hint="default"/>
      </w:rPr>
    </w:lvl>
    <w:lvl w:ilvl="1" w:tplc="C34004D4" w:tentative="1">
      <w:start w:val="1"/>
      <w:numFmt w:val="bullet"/>
      <w:lvlText w:val="•"/>
      <w:lvlJc w:val="left"/>
      <w:pPr>
        <w:tabs>
          <w:tab w:val="num" w:pos="1440"/>
        </w:tabs>
        <w:ind w:left="1440" w:hanging="360"/>
      </w:pPr>
      <w:rPr>
        <w:rFonts w:ascii="Arial" w:hAnsi="Arial" w:hint="default"/>
      </w:rPr>
    </w:lvl>
    <w:lvl w:ilvl="2" w:tplc="9F24CEAA" w:tentative="1">
      <w:start w:val="1"/>
      <w:numFmt w:val="bullet"/>
      <w:lvlText w:val="•"/>
      <w:lvlJc w:val="left"/>
      <w:pPr>
        <w:tabs>
          <w:tab w:val="num" w:pos="2160"/>
        </w:tabs>
        <w:ind w:left="2160" w:hanging="360"/>
      </w:pPr>
      <w:rPr>
        <w:rFonts w:ascii="Arial" w:hAnsi="Arial" w:hint="default"/>
      </w:rPr>
    </w:lvl>
    <w:lvl w:ilvl="3" w:tplc="E6D653B2" w:tentative="1">
      <w:start w:val="1"/>
      <w:numFmt w:val="bullet"/>
      <w:lvlText w:val="•"/>
      <w:lvlJc w:val="left"/>
      <w:pPr>
        <w:tabs>
          <w:tab w:val="num" w:pos="2880"/>
        </w:tabs>
        <w:ind w:left="2880" w:hanging="360"/>
      </w:pPr>
      <w:rPr>
        <w:rFonts w:ascii="Arial" w:hAnsi="Arial" w:hint="default"/>
      </w:rPr>
    </w:lvl>
    <w:lvl w:ilvl="4" w:tplc="69CC4E90" w:tentative="1">
      <w:start w:val="1"/>
      <w:numFmt w:val="bullet"/>
      <w:lvlText w:val="•"/>
      <w:lvlJc w:val="left"/>
      <w:pPr>
        <w:tabs>
          <w:tab w:val="num" w:pos="3600"/>
        </w:tabs>
        <w:ind w:left="3600" w:hanging="360"/>
      </w:pPr>
      <w:rPr>
        <w:rFonts w:ascii="Arial" w:hAnsi="Arial" w:hint="default"/>
      </w:rPr>
    </w:lvl>
    <w:lvl w:ilvl="5" w:tplc="45E26010" w:tentative="1">
      <w:start w:val="1"/>
      <w:numFmt w:val="bullet"/>
      <w:lvlText w:val="•"/>
      <w:lvlJc w:val="left"/>
      <w:pPr>
        <w:tabs>
          <w:tab w:val="num" w:pos="4320"/>
        </w:tabs>
        <w:ind w:left="4320" w:hanging="360"/>
      </w:pPr>
      <w:rPr>
        <w:rFonts w:ascii="Arial" w:hAnsi="Arial" w:hint="default"/>
      </w:rPr>
    </w:lvl>
    <w:lvl w:ilvl="6" w:tplc="D54C609E" w:tentative="1">
      <w:start w:val="1"/>
      <w:numFmt w:val="bullet"/>
      <w:lvlText w:val="•"/>
      <w:lvlJc w:val="left"/>
      <w:pPr>
        <w:tabs>
          <w:tab w:val="num" w:pos="5040"/>
        </w:tabs>
        <w:ind w:left="5040" w:hanging="360"/>
      </w:pPr>
      <w:rPr>
        <w:rFonts w:ascii="Arial" w:hAnsi="Arial" w:hint="default"/>
      </w:rPr>
    </w:lvl>
    <w:lvl w:ilvl="7" w:tplc="F9CE073C" w:tentative="1">
      <w:start w:val="1"/>
      <w:numFmt w:val="bullet"/>
      <w:lvlText w:val="•"/>
      <w:lvlJc w:val="left"/>
      <w:pPr>
        <w:tabs>
          <w:tab w:val="num" w:pos="5760"/>
        </w:tabs>
        <w:ind w:left="5760" w:hanging="360"/>
      </w:pPr>
      <w:rPr>
        <w:rFonts w:ascii="Arial" w:hAnsi="Arial" w:hint="default"/>
      </w:rPr>
    </w:lvl>
    <w:lvl w:ilvl="8" w:tplc="F0D01F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03E03F0"/>
    <w:multiLevelType w:val="hybridMultilevel"/>
    <w:tmpl w:val="78C82592"/>
    <w:lvl w:ilvl="0" w:tplc="B254AEF8">
      <w:start w:val="1"/>
      <w:numFmt w:val="bullet"/>
      <w:lvlText w:val="•"/>
      <w:lvlJc w:val="left"/>
      <w:pPr>
        <w:tabs>
          <w:tab w:val="num" w:pos="720"/>
        </w:tabs>
        <w:ind w:left="720" w:hanging="360"/>
      </w:pPr>
      <w:rPr>
        <w:rFonts w:ascii="Arial" w:hAnsi="Arial" w:hint="default"/>
      </w:rPr>
    </w:lvl>
    <w:lvl w:ilvl="1" w:tplc="FD680FEE" w:tentative="1">
      <w:start w:val="1"/>
      <w:numFmt w:val="bullet"/>
      <w:lvlText w:val="•"/>
      <w:lvlJc w:val="left"/>
      <w:pPr>
        <w:tabs>
          <w:tab w:val="num" w:pos="1440"/>
        </w:tabs>
        <w:ind w:left="1440" w:hanging="360"/>
      </w:pPr>
      <w:rPr>
        <w:rFonts w:ascii="Arial" w:hAnsi="Arial" w:hint="default"/>
      </w:rPr>
    </w:lvl>
    <w:lvl w:ilvl="2" w:tplc="7EF2974C" w:tentative="1">
      <w:start w:val="1"/>
      <w:numFmt w:val="bullet"/>
      <w:lvlText w:val="•"/>
      <w:lvlJc w:val="left"/>
      <w:pPr>
        <w:tabs>
          <w:tab w:val="num" w:pos="2160"/>
        </w:tabs>
        <w:ind w:left="2160" w:hanging="360"/>
      </w:pPr>
      <w:rPr>
        <w:rFonts w:ascii="Arial" w:hAnsi="Arial" w:hint="default"/>
      </w:rPr>
    </w:lvl>
    <w:lvl w:ilvl="3" w:tplc="BD620456" w:tentative="1">
      <w:start w:val="1"/>
      <w:numFmt w:val="bullet"/>
      <w:lvlText w:val="•"/>
      <w:lvlJc w:val="left"/>
      <w:pPr>
        <w:tabs>
          <w:tab w:val="num" w:pos="2880"/>
        </w:tabs>
        <w:ind w:left="2880" w:hanging="360"/>
      </w:pPr>
      <w:rPr>
        <w:rFonts w:ascii="Arial" w:hAnsi="Arial" w:hint="default"/>
      </w:rPr>
    </w:lvl>
    <w:lvl w:ilvl="4" w:tplc="A126B026" w:tentative="1">
      <w:start w:val="1"/>
      <w:numFmt w:val="bullet"/>
      <w:lvlText w:val="•"/>
      <w:lvlJc w:val="left"/>
      <w:pPr>
        <w:tabs>
          <w:tab w:val="num" w:pos="3600"/>
        </w:tabs>
        <w:ind w:left="3600" w:hanging="360"/>
      </w:pPr>
      <w:rPr>
        <w:rFonts w:ascii="Arial" w:hAnsi="Arial" w:hint="default"/>
      </w:rPr>
    </w:lvl>
    <w:lvl w:ilvl="5" w:tplc="13249050" w:tentative="1">
      <w:start w:val="1"/>
      <w:numFmt w:val="bullet"/>
      <w:lvlText w:val="•"/>
      <w:lvlJc w:val="left"/>
      <w:pPr>
        <w:tabs>
          <w:tab w:val="num" w:pos="4320"/>
        </w:tabs>
        <w:ind w:left="4320" w:hanging="360"/>
      </w:pPr>
      <w:rPr>
        <w:rFonts w:ascii="Arial" w:hAnsi="Arial" w:hint="default"/>
      </w:rPr>
    </w:lvl>
    <w:lvl w:ilvl="6" w:tplc="F05A5C16" w:tentative="1">
      <w:start w:val="1"/>
      <w:numFmt w:val="bullet"/>
      <w:lvlText w:val="•"/>
      <w:lvlJc w:val="left"/>
      <w:pPr>
        <w:tabs>
          <w:tab w:val="num" w:pos="5040"/>
        </w:tabs>
        <w:ind w:left="5040" w:hanging="360"/>
      </w:pPr>
      <w:rPr>
        <w:rFonts w:ascii="Arial" w:hAnsi="Arial" w:hint="default"/>
      </w:rPr>
    </w:lvl>
    <w:lvl w:ilvl="7" w:tplc="278A4846" w:tentative="1">
      <w:start w:val="1"/>
      <w:numFmt w:val="bullet"/>
      <w:lvlText w:val="•"/>
      <w:lvlJc w:val="left"/>
      <w:pPr>
        <w:tabs>
          <w:tab w:val="num" w:pos="5760"/>
        </w:tabs>
        <w:ind w:left="5760" w:hanging="360"/>
      </w:pPr>
      <w:rPr>
        <w:rFonts w:ascii="Arial" w:hAnsi="Arial" w:hint="default"/>
      </w:rPr>
    </w:lvl>
    <w:lvl w:ilvl="8" w:tplc="2EDADA2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1C68B0"/>
    <w:multiLevelType w:val="hybridMultilevel"/>
    <w:tmpl w:val="D94E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42E6C"/>
    <w:multiLevelType w:val="hybridMultilevel"/>
    <w:tmpl w:val="342C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016431">
    <w:abstractNumId w:val="2"/>
  </w:num>
  <w:num w:numId="2" w16cid:durableId="1072770943">
    <w:abstractNumId w:val="7"/>
  </w:num>
  <w:num w:numId="3" w16cid:durableId="1404524661">
    <w:abstractNumId w:val="3"/>
  </w:num>
  <w:num w:numId="4" w16cid:durableId="76944295">
    <w:abstractNumId w:val="11"/>
  </w:num>
  <w:num w:numId="5" w16cid:durableId="2027903824">
    <w:abstractNumId w:val="6"/>
  </w:num>
  <w:num w:numId="6" w16cid:durableId="1665427198">
    <w:abstractNumId w:val="13"/>
  </w:num>
  <w:num w:numId="7" w16cid:durableId="1218273634">
    <w:abstractNumId w:val="4"/>
  </w:num>
  <w:num w:numId="8" w16cid:durableId="1099792380">
    <w:abstractNumId w:val="8"/>
  </w:num>
  <w:num w:numId="9" w16cid:durableId="1052389277">
    <w:abstractNumId w:val="12"/>
  </w:num>
  <w:num w:numId="10" w16cid:durableId="1726905322">
    <w:abstractNumId w:val="1"/>
  </w:num>
  <w:num w:numId="11" w16cid:durableId="1854027165">
    <w:abstractNumId w:val="0"/>
  </w:num>
  <w:num w:numId="12" w16cid:durableId="548148461">
    <w:abstractNumId w:val="10"/>
  </w:num>
  <w:num w:numId="13" w16cid:durableId="1257056520">
    <w:abstractNumId w:val="5"/>
  </w:num>
  <w:num w:numId="14" w16cid:durableId="1416318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5E"/>
    <w:rsid w:val="00016D4C"/>
    <w:rsid w:val="000202BB"/>
    <w:rsid w:val="000315B2"/>
    <w:rsid w:val="00035575"/>
    <w:rsid w:val="0004505C"/>
    <w:rsid w:val="00093DD1"/>
    <w:rsid w:val="000A5084"/>
    <w:rsid w:val="000B2D04"/>
    <w:rsid w:val="000B5F29"/>
    <w:rsid w:val="000B7B0F"/>
    <w:rsid w:val="000C3779"/>
    <w:rsid w:val="000C6848"/>
    <w:rsid w:val="000D1BA2"/>
    <w:rsid w:val="000D3B35"/>
    <w:rsid w:val="000E1970"/>
    <w:rsid w:val="000E3723"/>
    <w:rsid w:val="000F3A8F"/>
    <w:rsid w:val="00145D38"/>
    <w:rsid w:val="00173F38"/>
    <w:rsid w:val="001751DF"/>
    <w:rsid w:val="001768A2"/>
    <w:rsid w:val="00180964"/>
    <w:rsid w:val="001854DE"/>
    <w:rsid w:val="001B15E6"/>
    <w:rsid w:val="001B2532"/>
    <w:rsid w:val="001C0FB9"/>
    <w:rsid w:val="001C275C"/>
    <w:rsid w:val="001D0F93"/>
    <w:rsid w:val="001D2827"/>
    <w:rsid w:val="001D60F3"/>
    <w:rsid w:val="001E45A3"/>
    <w:rsid w:val="001F0F8E"/>
    <w:rsid w:val="001F310A"/>
    <w:rsid w:val="001F6F60"/>
    <w:rsid w:val="00204E4A"/>
    <w:rsid w:val="00223033"/>
    <w:rsid w:val="00261902"/>
    <w:rsid w:val="00267377"/>
    <w:rsid w:val="002722FC"/>
    <w:rsid w:val="0027714F"/>
    <w:rsid w:val="0029297A"/>
    <w:rsid w:val="00293DAA"/>
    <w:rsid w:val="00294F79"/>
    <w:rsid w:val="002A66CB"/>
    <w:rsid w:val="002B241C"/>
    <w:rsid w:val="002B7546"/>
    <w:rsid w:val="002B7C2C"/>
    <w:rsid w:val="002C1A92"/>
    <w:rsid w:val="002E7BFC"/>
    <w:rsid w:val="002F44FA"/>
    <w:rsid w:val="002F71C3"/>
    <w:rsid w:val="00303004"/>
    <w:rsid w:val="003077E2"/>
    <w:rsid w:val="00307B07"/>
    <w:rsid w:val="003102F7"/>
    <w:rsid w:val="00346AA8"/>
    <w:rsid w:val="00354A97"/>
    <w:rsid w:val="0035645D"/>
    <w:rsid w:val="00356E15"/>
    <w:rsid w:val="00360E29"/>
    <w:rsid w:val="0036508B"/>
    <w:rsid w:val="00380902"/>
    <w:rsid w:val="00383327"/>
    <w:rsid w:val="003849F0"/>
    <w:rsid w:val="00386857"/>
    <w:rsid w:val="0039616A"/>
    <w:rsid w:val="003C695F"/>
    <w:rsid w:val="003D1EF9"/>
    <w:rsid w:val="003D4169"/>
    <w:rsid w:val="003D79F4"/>
    <w:rsid w:val="003E52FC"/>
    <w:rsid w:val="003F05BE"/>
    <w:rsid w:val="004239B1"/>
    <w:rsid w:val="00426B03"/>
    <w:rsid w:val="004320DB"/>
    <w:rsid w:val="004477C4"/>
    <w:rsid w:val="00457FEC"/>
    <w:rsid w:val="004746B0"/>
    <w:rsid w:val="00496940"/>
    <w:rsid w:val="00496C73"/>
    <w:rsid w:val="004B26E2"/>
    <w:rsid w:val="004C7EDC"/>
    <w:rsid w:val="004D2F7E"/>
    <w:rsid w:val="004E2DFA"/>
    <w:rsid w:val="004E5D68"/>
    <w:rsid w:val="004F1EAD"/>
    <w:rsid w:val="004F7FA2"/>
    <w:rsid w:val="00506DCD"/>
    <w:rsid w:val="00522B8C"/>
    <w:rsid w:val="0052581B"/>
    <w:rsid w:val="00541BE5"/>
    <w:rsid w:val="00542694"/>
    <w:rsid w:val="005503DE"/>
    <w:rsid w:val="005535AD"/>
    <w:rsid w:val="00553C25"/>
    <w:rsid w:val="005724A7"/>
    <w:rsid w:val="00583B10"/>
    <w:rsid w:val="00590214"/>
    <w:rsid w:val="00592927"/>
    <w:rsid w:val="005B1A3C"/>
    <w:rsid w:val="005C3741"/>
    <w:rsid w:val="005D1FC0"/>
    <w:rsid w:val="005D3118"/>
    <w:rsid w:val="005F0586"/>
    <w:rsid w:val="005F0AD6"/>
    <w:rsid w:val="005F5E76"/>
    <w:rsid w:val="00601791"/>
    <w:rsid w:val="00603AAE"/>
    <w:rsid w:val="006115BD"/>
    <w:rsid w:val="00617AE5"/>
    <w:rsid w:val="00617B53"/>
    <w:rsid w:val="006412CC"/>
    <w:rsid w:val="00656861"/>
    <w:rsid w:val="00676373"/>
    <w:rsid w:val="00682A35"/>
    <w:rsid w:val="006B12C2"/>
    <w:rsid w:val="006C2426"/>
    <w:rsid w:val="006F0DD9"/>
    <w:rsid w:val="006F2D4F"/>
    <w:rsid w:val="006F3EBF"/>
    <w:rsid w:val="006F4F3D"/>
    <w:rsid w:val="006F7878"/>
    <w:rsid w:val="00700C7D"/>
    <w:rsid w:val="00721B8D"/>
    <w:rsid w:val="00723D8D"/>
    <w:rsid w:val="00724130"/>
    <w:rsid w:val="0072434E"/>
    <w:rsid w:val="007247A8"/>
    <w:rsid w:val="00747A65"/>
    <w:rsid w:val="00750975"/>
    <w:rsid w:val="00757CB7"/>
    <w:rsid w:val="00760062"/>
    <w:rsid w:val="00763BA3"/>
    <w:rsid w:val="007663FB"/>
    <w:rsid w:val="007841C5"/>
    <w:rsid w:val="0078658A"/>
    <w:rsid w:val="00796C80"/>
    <w:rsid w:val="007A14CF"/>
    <w:rsid w:val="00820314"/>
    <w:rsid w:val="00823D2C"/>
    <w:rsid w:val="008340FE"/>
    <w:rsid w:val="0084124E"/>
    <w:rsid w:val="008419B8"/>
    <w:rsid w:val="00842AF9"/>
    <w:rsid w:val="00855BEC"/>
    <w:rsid w:val="008561CD"/>
    <w:rsid w:val="00857DC8"/>
    <w:rsid w:val="00857F10"/>
    <w:rsid w:val="008642AF"/>
    <w:rsid w:val="00865814"/>
    <w:rsid w:val="00870112"/>
    <w:rsid w:val="00873558"/>
    <w:rsid w:val="00881D71"/>
    <w:rsid w:val="00892C48"/>
    <w:rsid w:val="008A2348"/>
    <w:rsid w:val="008B52C4"/>
    <w:rsid w:val="008C593C"/>
    <w:rsid w:val="008E14BA"/>
    <w:rsid w:val="008E3544"/>
    <w:rsid w:val="008E7C21"/>
    <w:rsid w:val="00902A5B"/>
    <w:rsid w:val="00904B96"/>
    <w:rsid w:val="00915225"/>
    <w:rsid w:val="00921EE5"/>
    <w:rsid w:val="0095174A"/>
    <w:rsid w:val="00952242"/>
    <w:rsid w:val="00965EDE"/>
    <w:rsid w:val="0097032E"/>
    <w:rsid w:val="00970754"/>
    <w:rsid w:val="009922B3"/>
    <w:rsid w:val="009B331D"/>
    <w:rsid w:val="009D2C07"/>
    <w:rsid w:val="009D5B0C"/>
    <w:rsid w:val="009D616F"/>
    <w:rsid w:val="009E7FE7"/>
    <w:rsid w:val="00A06B4F"/>
    <w:rsid w:val="00A21B3A"/>
    <w:rsid w:val="00A21D34"/>
    <w:rsid w:val="00A21E12"/>
    <w:rsid w:val="00A32902"/>
    <w:rsid w:val="00A41048"/>
    <w:rsid w:val="00A43114"/>
    <w:rsid w:val="00A45C5E"/>
    <w:rsid w:val="00A8292D"/>
    <w:rsid w:val="00AA4B18"/>
    <w:rsid w:val="00AB5D0A"/>
    <w:rsid w:val="00AC6F28"/>
    <w:rsid w:val="00AD76E1"/>
    <w:rsid w:val="00B075CD"/>
    <w:rsid w:val="00B10057"/>
    <w:rsid w:val="00B13D0F"/>
    <w:rsid w:val="00B310E4"/>
    <w:rsid w:val="00B50F4D"/>
    <w:rsid w:val="00B52391"/>
    <w:rsid w:val="00B634A0"/>
    <w:rsid w:val="00B635FC"/>
    <w:rsid w:val="00B6715B"/>
    <w:rsid w:val="00B81C13"/>
    <w:rsid w:val="00B83AE6"/>
    <w:rsid w:val="00B91C24"/>
    <w:rsid w:val="00BA6B8C"/>
    <w:rsid w:val="00BC52BB"/>
    <w:rsid w:val="00BC65C1"/>
    <w:rsid w:val="00BE16FB"/>
    <w:rsid w:val="00BE2837"/>
    <w:rsid w:val="00BF6D80"/>
    <w:rsid w:val="00C03EAA"/>
    <w:rsid w:val="00C26D4F"/>
    <w:rsid w:val="00C367A4"/>
    <w:rsid w:val="00C4315E"/>
    <w:rsid w:val="00C56550"/>
    <w:rsid w:val="00C74659"/>
    <w:rsid w:val="00C80F70"/>
    <w:rsid w:val="00C842CE"/>
    <w:rsid w:val="00C91CF3"/>
    <w:rsid w:val="00CB2073"/>
    <w:rsid w:val="00CB7D42"/>
    <w:rsid w:val="00CD222A"/>
    <w:rsid w:val="00CE303F"/>
    <w:rsid w:val="00CF562E"/>
    <w:rsid w:val="00D12247"/>
    <w:rsid w:val="00D2306B"/>
    <w:rsid w:val="00D2693E"/>
    <w:rsid w:val="00D40C87"/>
    <w:rsid w:val="00D44D86"/>
    <w:rsid w:val="00D51E33"/>
    <w:rsid w:val="00D5363D"/>
    <w:rsid w:val="00D618A8"/>
    <w:rsid w:val="00D62B95"/>
    <w:rsid w:val="00D6522E"/>
    <w:rsid w:val="00D9212A"/>
    <w:rsid w:val="00D93F9B"/>
    <w:rsid w:val="00D96815"/>
    <w:rsid w:val="00DA1723"/>
    <w:rsid w:val="00DA3A7A"/>
    <w:rsid w:val="00DA47DD"/>
    <w:rsid w:val="00DB00B9"/>
    <w:rsid w:val="00DB0BBA"/>
    <w:rsid w:val="00DB1342"/>
    <w:rsid w:val="00DB13FE"/>
    <w:rsid w:val="00DC2156"/>
    <w:rsid w:val="00DD1E61"/>
    <w:rsid w:val="00DE2D89"/>
    <w:rsid w:val="00DE59B6"/>
    <w:rsid w:val="00DF0900"/>
    <w:rsid w:val="00DF1320"/>
    <w:rsid w:val="00DF5DDA"/>
    <w:rsid w:val="00E10E93"/>
    <w:rsid w:val="00E15910"/>
    <w:rsid w:val="00E247EB"/>
    <w:rsid w:val="00E31466"/>
    <w:rsid w:val="00E40828"/>
    <w:rsid w:val="00E42A1C"/>
    <w:rsid w:val="00E57524"/>
    <w:rsid w:val="00E649EE"/>
    <w:rsid w:val="00E676F5"/>
    <w:rsid w:val="00E71A36"/>
    <w:rsid w:val="00E7700B"/>
    <w:rsid w:val="00E9203C"/>
    <w:rsid w:val="00E972F2"/>
    <w:rsid w:val="00EA548F"/>
    <w:rsid w:val="00ED41D7"/>
    <w:rsid w:val="00EE11C6"/>
    <w:rsid w:val="00EE3CB0"/>
    <w:rsid w:val="00EF1F55"/>
    <w:rsid w:val="00EF232A"/>
    <w:rsid w:val="00EF56FD"/>
    <w:rsid w:val="00F03D2E"/>
    <w:rsid w:val="00F04FFF"/>
    <w:rsid w:val="00F321C5"/>
    <w:rsid w:val="00F45091"/>
    <w:rsid w:val="00F60018"/>
    <w:rsid w:val="00F643D0"/>
    <w:rsid w:val="00F65354"/>
    <w:rsid w:val="00F668EA"/>
    <w:rsid w:val="00F703C2"/>
    <w:rsid w:val="00F73F31"/>
    <w:rsid w:val="00F8005D"/>
    <w:rsid w:val="00F8393C"/>
    <w:rsid w:val="00F87A56"/>
    <w:rsid w:val="00F966DB"/>
    <w:rsid w:val="00F97C60"/>
    <w:rsid w:val="00FA7B9B"/>
    <w:rsid w:val="00FC1B7B"/>
    <w:rsid w:val="00FC799D"/>
    <w:rsid w:val="00FE7D0C"/>
    <w:rsid w:val="00FF29AF"/>
    <w:rsid w:val="00FF2A9D"/>
    <w:rsid w:val="00FF485C"/>
    <w:rsid w:val="06462666"/>
    <w:rsid w:val="3CCEC9E1"/>
    <w:rsid w:val="4F2EE1D6"/>
    <w:rsid w:val="5A25F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36EC"/>
  <w15:chartTrackingRefBased/>
  <w15:docId w15:val="{C0848351-B93B-497D-97A6-FC976772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6F5"/>
  </w:style>
  <w:style w:type="paragraph" w:styleId="Heading1">
    <w:name w:val="heading 1"/>
    <w:basedOn w:val="Normal"/>
    <w:next w:val="Normal"/>
    <w:link w:val="Heading1Char"/>
    <w:uiPriority w:val="9"/>
    <w:qFormat/>
    <w:rsid w:val="00A45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5E"/>
    <w:rPr>
      <w:rFonts w:eastAsiaTheme="majorEastAsia" w:cstheme="majorBidi"/>
      <w:color w:val="272727" w:themeColor="text1" w:themeTint="D8"/>
    </w:rPr>
  </w:style>
  <w:style w:type="paragraph" w:styleId="Title">
    <w:name w:val="Title"/>
    <w:basedOn w:val="Normal"/>
    <w:next w:val="Normal"/>
    <w:link w:val="TitleChar"/>
    <w:uiPriority w:val="10"/>
    <w:qFormat/>
    <w:rsid w:val="00A45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C5E"/>
    <w:pPr>
      <w:spacing w:before="160"/>
      <w:jc w:val="center"/>
    </w:pPr>
    <w:rPr>
      <w:i/>
      <w:iCs/>
      <w:color w:val="404040" w:themeColor="text1" w:themeTint="BF"/>
    </w:rPr>
  </w:style>
  <w:style w:type="character" w:customStyle="1" w:styleId="QuoteChar">
    <w:name w:val="Quote Char"/>
    <w:basedOn w:val="DefaultParagraphFont"/>
    <w:link w:val="Quote"/>
    <w:uiPriority w:val="29"/>
    <w:rsid w:val="00A45C5E"/>
    <w:rPr>
      <w:i/>
      <w:iCs/>
      <w:color w:val="404040" w:themeColor="text1" w:themeTint="BF"/>
    </w:rPr>
  </w:style>
  <w:style w:type="paragraph" w:styleId="ListParagraph">
    <w:name w:val="List Paragraph"/>
    <w:basedOn w:val="Normal"/>
    <w:uiPriority w:val="34"/>
    <w:qFormat/>
    <w:rsid w:val="00A45C5E"/>
    <w:pPr>
      <w:ind w:left="720"/>
      <w:contextualSpacing/>
    </w:pPr>
  </w:style>
  <w:style w:type="character" w:styleId="IntenseEmphasis">
    <w:name w:val="Intense Emphasis"/>
    <w:basedOn w:val="DefaultParagraphFont"/>
    <w:uiPriority w:val="21"/>
    <w:qFormat/>
    <w:rsid w:val="00A45C5E"/>
    <w:rPr>
      <w:i/>
      <w:iCs/>
      <w:color w:val="0F4761" w:themeColor="accent1" w:themeShade="BF"/>
    </w:rPr>
  </w:style>
  <w:style w:type="paragraph" w:styleId="IntenseQuote">
    <w:name w:val="Intense Quote"/>
    <w:basedOn w:val="Normal"/>
    <w:next w:val="Normal"/>
    <w:link w:val="IntenseQuoteChar"/>
    <w:uiPriority w:val="30"/>
    <w:qFormat/>
    <w:rsid w:val="00A45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C5E"/>
    <w:rPr>
      <w:i/>
      <w:iCs/>
      <w:color w:val="0F4761" w:themeColor="accent1" w:themeShade="BF"/>
    </w:rPr>
  </w:style>
  <w:style w:type="character" w:styleId="IntenseReference">
    <w:name w:val="Intense Reference"/>
    <w:basedOn w:val="DefaultParagraphFont"/>
    <w:uiPriority w:val="32"/>
    <w:qFormat/>
    <w:rsid w:val="00A45C5E"/>
    <w:rPr>
      <w:b/>
      <w:bCs/>
      <w:smallCaps/>
      <w:color w:val="0F4761" w:themeColor="accent1" w:themeShade="BF"/>
      <w:spacing w:val="5"/>
    </w:rPr>
  </w:style>
  <w:style w:type="paragraph" w:styleId="NormalWeb">
    <w:name w:val="Normal (Web)"/>
    <w:basedOn w:val="Normal"/>
    <w:uiPriority w:val="99"/>
    <w:semiHidden/>
    <w:unhideWhenUsed/>
    <w:rsid w:val="009D5B0C"/>
    <w:rPr>
      <w:rFonts w:ascii="Times New Roman" w:hAnsi="Times New Roman" w:cs="Times New Roman"/>
      <w:sz w:val="24"/>
      <w:szCs w:val="24"/>
    </w:rPr>
  </w:style>
  <w:style w:type="character" w:customStyle="1" w:styleId="ui-provider">
    <w:name w:val="ui-provider"/>
    <w:basedOn w:val="DefaultParagraphFont"/>
    <w:rsid w:val="00DA1723"/>
  </w:style>
  <w:style w:type="table" w:styleId="TableGrid">
    <w:name w:val="Table Grid"/>
    <w:basedOn w:val="TableNormal"/>
    <w:uiPriority w:val="39"/>
    <w:rsid w:val="00DA17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0900"/>
    <w:rPr>
      <w:color w:val="467886" w:themeColor="hyperlink"/>
      <w:u w:val="single"/>
    </w:rPr>
  </w:style>
  <w:style w:type="character" w:styleId="UnresolvedMention">
    <w:name w:val="Unresolved Mention"/>
    <w:basedOn w:val="DefaultParagraphFont"/>
    <w:uiPriority w:val="99"/>
    <w:semiHidden/>
    <w:unhideWhenUsed/>
    <w:rsid w:val="00DF0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6159">
      <w:bodyDiv w:val="1"/>
      <w:marLeft w:val="0"/>
      <w:marRight w:val="0"/>
      <w:marTop w:val="0"/>
      <w:marBottom w:val="0"/>
      <w:divBdr>
        <w:top w:val="none" w:sz="0" w:space="0" w:color="auto"/>
        <w:left w:val="none" w:sz="0" w:space="0" w:color="auto"/>
        <w:bottom w:val="none" w:sz="0" w:space="0" w:color="auto"/>
        <w:right w:val="none" w:sz="0" w:space="0" w:color="auto"/>
      </w:divBdr>
    </w:div>
    <w:div w:id="157233027">
      <w:bodyDiv w:val="1"/>
      <w:marLeft w:val="0"/>
      <w:marRight w:val="0"/>
      <w:marTop w:val="0"/>
      <w:marBottom w:val="0"/>
      <w:divBdr>
        <w:top w:val="none" w:sz="0" w:space="0" w:color="auto"/>
        <w:left w:val="none" w:sz="0" w:space="0" w:color="auto"/>
        <w:bottom w:val="none" w:sz="0" w:space="0" w:color="auto"/>
        <w:right w:val="none" w:sz="0" w:space="0" w:color="auto"/>
      </w:divBdr>
    </w:div>
    <w:div w:id="709576211">
      <w:bodyDiv w:val="1"/>
      <w:marLeft w:val="0"/>
      <w:marRight w:val="0"/>
      <w:marTop w:val="0"/>
      <w:marBottom w:val="0"/>
      <w:divBdr>
        <w:top w:val="none" w:sz="0" w:space="0" w:color="auto"/>
        <w:left w:val="none" w:sz="0" w:space="0" w:color="auto"/>
        <w:bottom w:val="none" w:sz="0" w:space="0" w:color="auto"/>
        <w:right w:val="none" w:sz="0" w:space="0" w:color="auto"/>
      </w:divBdr>
    </w:div>
    <w:div w:id="1120954919">
      <w:bodyDiv w:val="1"/>
      <w:marLeft w:val="0"/>
      <w:marRight w:val="0"/>
      <w:marTop w:val="0"/>
      <w:marBottom w:val="0"/>
      <w:divBdr>
        <w:top w:val="none" w:sz="0" w:space="0" w:color="auto"/>
        <w:left w:val="none" w:sz="0" w:space="0" w:color="auto"/>
        <w:bottom w:val="none" w:sz="0" w:space="0" w:color="auto"/>
        <w:right w:val="none" w:sz="0" w:space="0" w:color="auto"/>
      </w:divBdr>
    </w:div>
    <w:div w:id="1539779002">
      <w:bodyDiv w:val="1"/>
      <w:marLeft w:val="0"/>
      <w:marRight w:val="0"/>
      <w:marTop w:val="0"/>
      <w:marBottom w:val="0"/>
      <w:divBdr>
        <w:top w:val="none" w:sz="0" w:space="0" w:color="auto"/>
        <w:left w:val="none" w:sz="0" w:space="0" w:color="auto"/>
        <w:bottom w:val="none" w:sz="0" w:space="0" w:color="auto"/>
        <w:right w:val="none" w:sz="0" w:space="0" w:color="auto"/>
      </w:divBdr>
    </w:div>
    <w:div w:id="19552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1925</Words>
  <Characters>11268</Characters>
  <Application>Microsoft Office Word</Application>
  <DocSecurity>0</DocSecurity>
  <Lines>433</Lines>
  <Paragraphs>314</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Eligon, Rebecca</dc:creator>
  <cp:keywords/>
  <dc:description/>
  <cp:lastModifiedBy>Rebecca Eligon</cp:lastModifiedBy>
  <cp:revision>33</cp:revision>
  <dcterms:created xsi:type="dcterms:W3CDTF">2026-01-27T10:34:00Z</dcterms:created>
  <dcterms:modified xsi:type="dcterms:W3CDTF">2026-02-26T19:14:00Z</dcterms:modified>
</cp:coreProperties>
</file>