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1BC1F" w14:textId="77777777" w:rsidR="00E227ED" w:rsidRDefault="00E227ED" w:rsidP="00F45CF3">
      <w:pPr>
        <w:spacing w:after="0" w:line="240" w:lineRule="auto"/>
        <w:contextualSpacing/>
        <w:rPr>
          <w:sz w:val="24"/>
          <w:szCs w:val="24"/>
        </w:rPr>
      </w:pPr>
    </w:p>
    <w:p w14:paraId="1BDADEF6" w14:textId="77777777" w:rsidR="00E12DD9" w:rsidRDefault="00E12DD9" w:rsidP="00E12DD9">
      <w:pPr>
        <w:spacing w:after="0" w:line="240" w:lineRule="auto"/>
        <w:ind w:left="283"/>
        <w:contextualSpacing/>
        <w:rPr>
          <w:sz w:val="24"/>
          <w:szCs w:val="24"/>
        </w:rPr>
      </w:pPr>
    </w:p>
    <w:p w14:paraId="36A833D9" w14:textId="77777777" w:rsidR="007E4EA3" w:rsidRDefault="007E4EA3" w:rsidP="00E12DD9">
      <w:pPr>
        <w:spacing w:after="0" w:line="240" w:lineRule="auto"/>
        <w:ind w:left="283"/>
        <w:contextualSpacing/>
        <w:rPr>
          <w:sz w:val="24"/>
          <w:szCs w:val="24"/>
        </w:rPr>
      </w:pPr>
    </w:p>
    <w:p w14:paraId="6DD9D350" w14:textId="77777777" w:rsidR="004B30AF" w:rsidRPr="00D038CF" w:rsidRDefault="004B30AF" w:rsidP="00E12DD9">
      <w:pPr>
        <w:spacing w:after="0" w:line="240" w:lineRule="auto"/>
        <w:ind w:left="283"/>
        <w:contextualSpacing/>
        <w:rPr>
          <w:sz w:val="32"/>
          <w:szCs w:val="32"/>
        </w:rPr>
      </w:pPr>
    </w:p>
    <w:p w14:paraId="226A85C9" w14:textId="3764EFAE" w:rsidR="0017540B" w:rsidRPr="00D038CF" w:rsidRDefault="00214F80" w:rsidP="00214F80">
      <w:pPr>
        <w:spacing w:after="0" w:line="240" w:lineRule="auto"/>
        <w:ind w:left="567"/>
        <w:jc w:val="center"/>
        <w:rPr>
          <w:rFonts w:ascii="Amasis MT Pro Black" w:hAnsi="Amasis MT Pro Black"/>
          <w:b/>
          <w:bCs/>
          <w:color w:val="D46F63"/>
          <w:sz w:val="48"/>
          <w:szCs w:val="48"/>
        </w:rPr>
      </w:pPr>
      <w:r w:rsidRPr="00214F80">
        <w:rPr>
          <w:rFonts w:ascii="Amasis MT Pro Black" w:hAnsi="Amasis MT Pro Black"/>
          <w:b/>
          <w:bCs/>
          <w:color w:val="008796"/>
          <w:sz w:val="48"/>
          <w:szCs w:val="48"/>
          <w:lang w:val="en-US"/>
        </w:rPr>
        <w:t>Evidence Base and Referral Pathway for Speech, Language and Communication Needs (SLCN) Assessments</w:t>
      </w:r>
      <w:r w:rsidRPr="00214F80">
        <w:rPr>
          <w:rFonts w:ascii="Amasis MT Pro Black" w:hAnsi="Amasis MT Pro Black"/>
          <w:b/>
          <w:bCs/>
          <w:color w:val="008796"/>
          <w:sz w:val="48"/>
          <w:szCs w:val="48"/>
        </w:rPr>
        <w:t xml:space="preserve"> </w:t>
      </w:r>
      <w:r>
        <w:rPr>
          <w:rFonts w:ascii="Amasis MT Pro Black" w:hAnsi="Amasis MT Pro Black"/>
          <w:b/>
          <w:bCs/>
          <w:color w:val="008796"/>
          <w:sz w:val="48"/>
          <w:szCs w:val="48"/>
        </w:rPr>
        <w:t>through the Promoting Reintegration and Reducing Exclusions pathway.</w:t>
      </w:r>
    </w:p>
    <w:p w14:paraId="6B9B3626" w14:textId="77777777" w:rsidR="00AE5F48" w:rsidRPr="00AE5F48" w:rsidRDefault="00AE5F48" w:rsidP="00734EC0">
      <w:pPr>
        <w:spacing w:after="0" w:line="240" w:lineRule="auto"/>
        <w:ind w:left="567"/>
        <w:rPr>
          <w:rFonts w:ascii="Amasis MT Pro Black" w:hAnsi="Amasis MT Pro Black"/>
          <w:b/>
          <w:bCs/>
          <w:color w:val="D46F63"/>
          <w:sz w:val="32"/>
          <w:szCs w:val="32"/>
        </w:rPr>
      </w:pPr>
    </w:p>
    <w:p w14:paraId="3C79509B" w14:textId="77777777" w:rsidR="00E03ABA" w:rsidRPr="00734EC0" w:rsidRDefault="00E03ABA" w:rsidP="006D5567">
      <w:pPr>
        <w:spacing w:after="360" w:line="240" w:lineRule="auto"/>
        <w:ind w:left="567"/>
        <w:contextualSpacing/>
        <w:rPr>
          <w:rFonts w:ascii="Amasis MT Std Black" w:hAnsi="Amasis MT Std Black"/>
          <w:sz w:val="24"/>
          <w:szCs w:val="24"/>
        </w:rPr>
      </w:pPr>
    </w:p>
    <w:p w14:paraId="242AE54C" w14:textId="77777777" w:rsidR="00214F80" w:rsidRDefault="00214F80" w:rsidP="00214F80">
      <w:r>
        <w:rPr>
          <w:color w:val="54565A"/>
        </w:rPr>
        <w:t>Milton Keynes Youth Justice Service (MKYJS)</w:t>
      </w:r>
      <w:r>
        <w:rPr>
          <w:color w:val="54565A"/>
        </w:rPr>
        <w:br/>
        <w:t>Milton Keynes City Council</w:t>
      </w:r>
      <w:r>
        <w:rPr>
          <w:color w:val="54565A"/>
        </w:rPr>
        <w:br/>
        <w:t xml:space="preserve">10 March </w:t>
      </w:r>
      <w:proofErr w:type="gramStart"/>
      <w:r>
        <w:rPr>
          <w:color w:val="54565A"/>
        </w:rPr>
        <w:t>2026  |</w:t>
      </w:r>
      <w:proofErr w:type="gramEnd"/>
      <w:r>
        <w:rPr>
          <w:color w:val="54565A"/>
        </w:rPr>
        <w:t xml:space="preserve">  v1.0 (National Good Practice Example)</w:t>
      </w:r>
    </w:p>
    <w:p w14:paraId="76491400" w14:textId="4D274717" w:rsidR="00214F80" w:rsidRDefault="00214F80" w:rsidP="00214F80">
      <w:r>
        <w:rPr>
          <w:color w:val="54565A"/>
          <w:sz w:val="20"/>
        </w:rPr>
        <w:br/>
        <w:t>This document is shared as an example of good practice to support national learning and local adaptation. It should be used alongside local governance, information-sharing agreements and clinical/education pathways.</w:t>
      </w:r>
    </w:p>
    <w:p w14:paraId="6C913A29" w14:textId="77777777" w:rsidR="00214F80" w:rsidRPr="00214F80" w:rsidRDefault="00214F80" w:rsidP="00214F80">
      <w:pPr>
        <w:pStyle w:val="Heading1"/>
        <w:rPr>
          <w:b w:val="0"/>
          <w:bCs w:val="0"/>
          <w:sz w:val="32"/>
          <w:szCs w:val="32"/>
        </w:rPr>
      </w:pPr>
      <w:r w:rsidRPr="00214F80">
        <w:rPr>
          <w:b w:val="0"/>
          <w:bCs w:val="0"/>
          <w:sz w:val="32"/>
          <w:szCs w:val="32"/>
        </w:rPr>
        <w:t>Executive Summary</w:t>
      </w:r>
    </w:p>
    <w:p w14:paraId="1A7121F8" w14:textId="77777777" w:rsidR="00214F80" w:rsidRPr="00214F80" w:rsidRDefault="00214F80" w:rsidP="00214F80">
      <w:pPr>
        <w:rPr>
          <w:sz w:val="24"/>
          <w:szCs w:val="24"/>
        </w:rPr>
      </w:pPr>
      <w:r w:rsidRPr="00214F80">
        <w:rPr>
          <w:sz w:val="24"/>
          <w:szCs w:val="24"/>
        </w:rPr>
        <w:t>PRRE is a prevention and diversion initiative developed by Milton Keynes Youth Justice Service (MKYJS) in partnership with Speech and Language Therapists (SLTs). It enables schools and education providers to refer children and young people who are at risk of exclusion or who are being reintegrated into education, to access timely Speech, Language and Communication Needs (SLCN) assessment and recommendations. The model supports inclusive practice, reduces avoidable exclusions and strengthens protective factors associated with engagement, attainment and safety.</w:t>
      </w:r>
    </w:p>
    <w:tbl>
      <w:tblPr>
        <w:tblW w:w="0" w:type="auto"/>
        <w:tblLook w:val="04A0" w:firstRow="1" w:lastRow="0" w:firstColumn="1" w:lastColumn="0" w:noHBand="0" w:noVBand="1"/>
      </w:tblPr>
      <w:tblGrid>
        <w:gridCol w:w="8640"/>
      </w:tblGrid>
      <w:tr w:rsidR="00214F80" w14:paraId="65429A4E" w14:textId="77777777" w:rsidTr="00D749ED">
        <w:tc>
          <w:tcPr>
            <w:tcW w:w="8640" w:type="dxa"/>
            <w:shd w:val="clear" w:color="auto" w:fill="E8F6F7"/>
          </w:tcPr>
          <w:p w14:paraId="0130F04E" w14:textId="77777777" w:rsidR="00214F80" w:rsidRDefault="00214F80" w:rsidP="00D749ED">
            <w:proofErr w:type="gramStart"/>
            <w:r>
              <w:rPr>
                <w:b/>
                <w:color w:val="008996"/>
              </w:rPr>
              <w:t>At a glance</w:t>
            </w:r>
            <w:proofErr w:type="gramEnd"/>
          </w:p>
          <w:p w14:paraId="4D7F7F35" w14:textId="77777777" w:rsidR="00214F80" w:rsidRPr="00214F80" w:rsidRDefault="00214F80" w:rsidP="00214F80">
            <w:pPr>
              <w:pStyle w:val="ListBullet"/>
              <w:tabs>
                <w:tab w:val="num" w:pos="360"/>
              </w:tabs>
              <w:ind w:left="360" w:hanging="360"/>
              <w:rPr>
                <w:sz w:val="24"/>
                <w:szCs w:val="24"/>
              </w:rPr>
            </w:pPr>
            <w:r w:rsidRPr="00214F80">
              <w:rPr>
                <w:sz w:val="24"/>
                <w:szCs w:val="24"/>
              </w:rPr>
              <w:t>Who it is for: children and young people identified by education settings as being at greatest risk of suspension/exclusion, managed move or reintegration breakdown.</w:t>
            </w:r>
          </w:p>
          <w:p w14:paraId="2F3FE7CD" w14:textId="77777777" w:rsidR="00214F80" w:rsidRPr="00214F80" w:rsidRDefault="00214F80" w:rsidP="00214F80">
            <w:pPr>
              <w:pStyle w:val="ListBullet"/>
              <w:tabs>
                <w:tab w:val="num" w:pos="360"/>
              </w:tabs>
              <w:ind w:left="360" w:hanging="360"/>
              <w:rPr>
                <w:sz w:val="24"/>
                <w:szCs w:val="24"/>
              </w:rPr>
            </w:pPr>
            <w:r w:rsidRPr="00214F80">
              <w:rPr>
                <w:sz w:val="24"/>
                <w:szCs w:val="24"/>
              </w:rPr>
              <w:t>What it provides: targeted SLCN assessment, practical recommendations for schools, and workforce training to strengthen inclusive practice.</w:t>
            </w:r>
          </w:p>
          <w:p w14:paraId="41AC76B8" w14:textId="77777777" w:rsidR="00214F80" w:rsidRPr="00214F80" w:rsidRDefault="00214F80" w:rsidP="00214F80">
            <w:pPr>
              <w:pStyle w:val="ListBullet"/>
              <w:tabs>
                <w:tab w:val="num" w:pos="360"/>
              </w:tabs>
              <w:ind w:left="360" w:hanging="360"/>
              <w:rPr>
                <w:sz w:val="24"/>
                <w:szCs w:val="24"/>
              </w:rPr>
            </w:pPr>
            <w:r w:rsidRPr="00214F80">
              <w:rPr>
                <w:sz w:val="24"/>
                <w:szCs w:val="24"/>
              </w:rPr>
              <w:t xml:space="preserve">Why it matters: SLCN is common but frequently unidentified; unmet needs can be misinterpreted as </w:t>
            </w:r>
            <w:proofErr w:type="spellStart"/>
            <w:r w:rsidRPr="00214F80">
              <w:rPr>
                <w:sz w:val="24"/>
                <w:szCs w:val="24"/>
              </w:rPr>
              <w:t>behaviour</w:t>
            </w:r>
            <w:proofErr w:type="spellEnd"/>
            <w:r w:rsidRPr="00214F80">
              <w:rPr>
                <w:sz w:val="24"/>
                <w:szCs w:val="24"/>
              </w:rPr>
              <w:t>, increasing exclusion and vulnerability.</w:t>
            </w:r>
          </w:p>
          <w:p w14:paraId="1053431E" w14:textId="77777777" w:rsidR="00214F80" w:rsidRDefault="00214F80" w:rsidP="00214F80">
            <w:pPr>
              <w:pStyle w:val="ListBullet"/>
              <w:tabs>
                <w:tab w:val="num" w:pos="360"/>
              </w:tabs>
              <w:ind w:left="360" w:hanging="360"/>
            </w:pPr>
            <w:r w:rsidRPr="00214F80">
              <w:rPr>
                <w:sz w:val="24"/>
                <w:szCs w:val="24"/>
              </w:rPr>
              <w:t>How it is delivered: a clear school-to-YJS referral route supported by information governance and consent, followed by SLT assessment and feedback.</w:t>
            </w:r>
          </w:p>
        </w:tc>
      </w:tr>
    </w:tbl>
    <w:p w14:paraId="47269C52" w14:textId="77777777" w:rsidR="00214F80" w:rsidRDefault="00214F80" w:rsidP="00214F80"/>
    <w:p w14:paraId="2F47C48A" w14:textId="77777777" w:rsidR="00214F80" w:rsidRDefault="00214F80" w:rsidP="00214F80">
      <w:r>
        <w:br w:type="page"/>
      </w:r>
    </w:p>
    <w:p w14:paraId="6F4BB84C" w14:textId="77777777" w:rsidR="00214F80" w:rsidRPr="00214F80" w:rsidRDefault="00214F80" w:rsidP="00214F80">
      <w:pPr>
        <w:pStyle w:val="Heading1"/>
        <w:rPr>
          <w:rFonts w:asciiTheme="minorHAnsi" w:hAnsiTheme="minorHAnsi" w:cstheme="minorHAnsi"/>
          <w:b w:val="0"/>
          <w:bCs w:val="0"/>
          <w:sz w:val="32"/>
          <w:szCs w:val="32"/>
        </w:rPr>
      </w:pPr>
      <w:r w:rsidRPr="00214F80">
        <w:rPr>
          <w:rFonts w:asciiTheme="minorHAnsi" w:hAnsiTheme="minorHAnsi" w:cstheme="minorHAnsi"/>
          <w:b w:val="0"/>
          <w:bCs w:val="0"/>
          <w:sz w:val="32"/>
          <w:szCs w:val="32"/>
        </w:rPr>
        <w:lastRenderedPageBreak/>
        <w:t>1. Purpose and Rationale</w:t>
      </w:r>
    </w:p>
    <w:p w14:paraId="46EA3777" w14:textId="77777777" w:rsidR="00214F80" w:rsidRPr="00214F80" w:rsidRDefault="00214F80" w:rsidP="00214F80">
      <w:pPr>
        <w:rPr>
          <w:sz w:val="24"/>
          <w:szCs w:val="24"/>
        </w:rPr>
      </w:pPr>
      <w:r w:rsidRPr="00214F80">
        <w:rPr>
          <w:sz w:val="24"/>
          <w:szCs w:val="24"/>
        </w:rPr>
        <w:t>PRRE is designed to remove systemic barriers to education and reintegration by ensuring that hidden communication needs are identified early and addressed through reasonable adjustments and targeted support. The programme is aligned to Child First practice and the prevention agenda across Youth Justice and Education.</w:t>
      </w:r>
    </w:p>
    <w:p w14:paraId="225EB3D0" w14:textId="77777777" w:rsidR="00214F80" w:rsidRPr="00214F80" w:rsidRDefault="00214F80" w:rsidP="00214F80">
      <w:pPr>
        <w:pStyle w:val="Heading1"/>
        <w:rPr>
          <w:rFonts w:asciiTheme="minorHAnsi" w:hAnsiTheme="minorHAnsi" w:cstheme="minorHAnsi"/>
          <w:b w:val="0"/>
          <w:bCs w:val="0"/>
          <w:sz w:val="32"/>
          <w:szCs w:val="32"/>
        </w:rPr>
      </w:pPr>
      <w:r w:rsidRPr="00214F80">
        <w:rPr>
          <w:rFonts w:asciiTheme="minorHAnsi" w:hAnsiTheme="minorHAnsi" w:cstheme="minorHAnsi"/>
          <w:b w:val="0"/>
          <w:bCs w:val="0"/>
          <w:sz w:val="32"/>
          <w:szCs w:val="32"/>
        </w:rPr>
        <w:t>2. Evidence Base</w:t>
      </w:r>
    </w:p>
    <w:p w14:paraId="2624F567" w14:textId="77777777" w:rsidR="00214F80" w:rsidRPr="00214F80" w:rsidRDefault="00214F80" w:rsidP="00214F80">
      <w:pPr>
        <w:pStyle w:val="Heading2"/>
        <w:rPr>
          <w:b w:val="0"/>
          <w:bCs w:val="0"/>
        </w:rPr>
      </w:pPr>
      <w:r w:rsidRPr="00214F80">
        <w:rPr>
          <w:b w:val="0"/>
          <w:bCs w:val="0"/>
        </w:rPr>
        <w:t>2.1 Prevalence and impact of SLCN</w:t>
      </w:r>
    </w:p>
    <w:p w14:paraId="72E724CA" w14:textId="77777777" w:rsidR="00214F80" w:rsidRPr="00214F80" w:rsidRDefault="00214F80" w:rsidP="00214F80">
      <w:pPr>
        <w:rPr>
          <w:sz w:val="24"/>
          <w:szCs w:val="24"/>
        </w:rPr>
      </w:pPr>
      <w:r w:rsidRPr="00214F80">
        <w:rPr>
          <w:sz w:val="24"/>
          <w:szCs w:val="24"/>
        </w:rPr>
        <w:t xml:space="preserve">Evidence demonstrates that communication needs are disproportionately prevalent among children involved with youth justice and among those facing exclusion. Unidentified needs can reduce access to verbally mediated interventions, impact compliance, and influence perceptions of attitude and engagement. A substantial body of research has shown that between 60–90% of young people who offend present with SLCN, with 61–79% of these needs going unrecognised until they </w:t>
      </w:r>
      <w:proofErr w:type="gramStart"/>
      <w:r w:rsidRPr="00214F80">
        <w:rPr>
          <w:sz w:val="24"/>
          <w:szCs w:val="24"/>
        </w:rPr>
        <w:t>come into contact with</w:t>
      </w:r>
      <w:proofErr w:type="gramEnd"/>
      <w:r w:rsidRPr="00214F80">
        <w:rPr>
          <w:sz w:val="24"/>
          <w:szCs w:val="24"/>
        </w:rPr>
        <w:t xml:space="preserve"> Youth Justice Services. This evidence, highlighted by the Royal College of Speech and Language Therapists, illustrates a national pattern of unmet need, demonstrating that children often struggle for years without formal identification or support.</w:t>
      </w:r>
    </w:p>
    <w:p w14:paraId="287B5850" w14:textId="77777777" w:rsidR="00214F80" w:rsidRPr="00214F80" w:rsidRDefault="00214F80" w:rsidP="00214F80">
      <w:pPr>
        <w:pStyle w:val="Heading2"/>
        <w:rPr>
          <w:b w:val="0"/>
          <w:bCs w:val="0"/>
        </w:rPr>
      </w:pPr>
      <w:r w:rsidRPr="00214F80">
        <w:rPr>
          <w:b w:val="0"/>
          <w:bCs w:val="0"/>
        </w:rPr>
        <w:t>2.2 Exclusion, vulnerability and justice involvement</w:t>
      </w:r>
    </w:p>
    <w:p w14:paraId="1EF7C384" w14:textId="77777777" w:rsidR="00214F80" w:rsidRPr="00214F80" w:rsidRDefault="00214F80" w:rsidP="00214F80">
      <w:pPr>
        <w:rPr>
          <w:sz w:val="24"/>
          <w:szCs w:val="24"/>
        </w:rPr>
      </w:pPr>
      <w:r w:rsidRPr="00214F80">
        <w:rPr>
          <w:sz w:val="24"/>
          <w:szCs w:val="24"/>
        </w:rPr>
        <w:t>School exclusion and instability are associated with increased vulnerability, including exploitation and entry into the youth justice system. PRRE acts upstream by strengthening inclusion, stabilising placements and improving engagement. The Department for Education reported in 2018 that children with identified Special Educational Needs (SEN) made up 46.7% of all permanent exclusions and 44.9% of fixed period exclusions. Such stark disproportionality underscores a systemic challenge: without early intervention, children with SEN—including those whose SLCN may not yet be identified—are significantly more likely to be removed from mainstream education. Exclusion, in turn, is recognised as a key predictor of later criminal exploitation and offending.</w:t>
      </w:r>
    </w:p>
    <w:p w14:paraId="22145940" w14:textId="77777777" w:rsidR="00214F80" w:rsidRPr="00214F80" w:rsidRDefault="00214F80" w:rsidP="00214F80">
      <w:pPr>
        <w:pStyle w:val="Heading2"/>
        <w:rPr>
          <w:b w:val="0"/>
          <w:bCs w:val="0"/>
        </w:rPr>
      </w:pPr>
      <w:r w:rsidRPr="00214F80">
        <w:rPr>
          <w:b w:val="0"/>
          <w:bCs w:val="0"/>
        </w:rPr>
        <w:t>2.3 Why early identification is a protective factor</w:t>
      </w:r>
    </w:p>
    <w:p w14:paraId="01B0ABDE" w14:textId="77777777" w:rsidR="00214F80" w:rsidRPr="00214F80" w:rsidRDefault="00214F80" w:rsidP="00214F80">
      <w:pPr>
        <w:rPr>
          <w:sz w:val="24"/>
          <w:szCs w:val="24"/>
        </w:rPr>
      </w:pPr>
      <w:r w:rsidRPr="00214F80">
        <w:rPr>
          <w:sz w:val="24"/>
          <w:szCs w:val="24"/>
        </w:rPr>
        <w:t>Early identification enables timely support and adjustments in classrooms, supports reintegration planning, and reduces escalation to punitive responses for behaviour that is driven by unmet need.</w:t>
      </w:r>
    </w:p>
    <w:p w14:paraId="71BE1F4A" w14:textId="77777777" w:rsidR="00214F80" w:rsidRPr="00214F80" w:rsidRDefault="00214F80" w:rsidP="00214F80">
      <w:pPr>
        <w:pStyle w:val="Heading1"/>
        <w:rPr>
          <w:rFonts w:asciiTheme="minorHAnsi" w:hAnsiTheme="minorHAnsi" w:cstheme="minorHAnsi"/>
          <w:b w:val="0"/>
          <w:bCs w:val="0"/>
          <w:sz w:val="32"/>
          <w:szCs w:val="32"/>
        </w:rPr>
      </w:pPr>
      <w:r w:rsidRPr="00214F80">
        <w:rPr>
          <w:rFonts w:asciiTheme="minorHAnsi" w:hAnsiTheme="minorHAnsi" w:cstheme="minorHAnsi"/>
          <w:b w:val="0"/>
          <w:bCs w:val="0"/>
          <w:sz w:val="32"/>
          <w:szCs w:val="32"/>
        </w:rPr>
        <w:t>3. Local Learning from Milton Keynes</w:t>
      </w:r>
    </w:p>
    <w:p w14:paraId="25C34A34" w14:textId="77777777" w:rsidR="00214F80" w:rsidRPr="00BB1006" w:rsidRDefault="00214F80" w:rsidP="00214F80">
      <w:pPr>
        <w:rPr>
          <w:sz w:val="24"/>
          <w:szCs w:val="24"/>
        </w:rPr>
      </w:pPr>
      <w:r w:rsidRPr="00BB1006">
        <w:rPr>
          <w:sz w:val="24"/>
          <w:szCs w:val="24"/>
        </w:rPr>
        <w:t>MKYJS local data (2019–2023) demonstrates consistently high rates of identified SLCN among children and young people assessed through the service and through PRRE school referrals (between 83-96%). This strengthens the case for a systematic, school-facing pathway for targeted assessment and support.</w:t>
      </w:r>
    </w:p>
    <w:p w14:paraId="0B454DA1" w14:textId="77777777" w:rsidR="00214F80" w:rsidRPr="00BB1006" w:rsidRDefault="00214F80" w:rsidP="00214F80">
      <w:pPr>
        <w:pStyle w:val="Heading1"/>
        <w:rPr>
          <w:rFonts w:asciiTheme="minorHAnsi" w:hAnsiTheme="minorHAnsi" w:cstheme="minorHAnsi"/>
          <w:b w:val="0"/>
          <w:bCs w:val="0"/>
          <w:sz w:val="32"/>
          <w:szCs w:val="32"/>
        </w:rPr>
      </w:pPr>
      <w:r w:rsidRPr="00BB1006">
        <w:rPr>
          <w:rFonts w:asciiTheme="minorHAnsi" w:hAnsiTheme="minorHAnsi" w:cstheme="minorHAnsi"/>
          <w:b w:val="0"/>
          <w:bCs w:val="0"/>
          <w:sz w:val="32"/>
          <w:szCs w:val="32"/>
        </w:rPr>
        <w:t>4. PRRE Model Description</w:t>
      </w:r>
    </w:p>
    <w:p w14:paraId="7CBFBF79" w14:textId="77777777" w:rsidR="00214F80" w:rsidRPr="00BB1006" w:rsidRDefault="00214F80" w:rsidP="00214F80">
      <w:pPr>
        <w:pStyle w:val="Heading2"/>
        <w:rPr>
          <w:b w:val="0"/>
          <w:bCs w:val="0"/>
        </w:rPr>
      </w:pPr>
      <w:r w:rsidRPr="00BB1006">
        <w:rPr>
          <w:b w:val="0"/>
          <w:bCs w:val="0"/>
        </w:rPr>
        <w:t>4.1 Core components</w:t>
      </w:r>
    </w:p>
    <w:p w14:paraId="632188AE" w14:textId="77777777" w:rsidR="00214F80" w:rsidRPr="00BB1006" w:rsidRDefault="00214F80" w:rsidP="00214F80">
      <w:pPr>
        <w:pStyle w:val="ListBullet"/>
        <w:tabs>
          <w:tab w:val="num" w:pos="360"/>
        </w:tabs>
        <w:ind w:left="360" w:hanging="360"/>
        <w:rPr>
          <w:sz w:val="24"/>
          <w:szCs w:val="24"/>
        </w:rPr>
      </w:pPr>
      <w:r w:rsidRPr="00BB1006">
        <w:rPr>
          <w:sz w:val="24"/>
          <w:szCs w:val="24"/>
        </w:rPr>
        <w:t>Targeted SLT assessment for referred pupils (with clear consent and information-sharing processes).</w:t>
      </w:r>
    </w:p>
    <w:p w14:paraId="188561A4" w14:textId="77777777" w:rsidR="00214F80" w:rsidRPr="00BB1006" w:rsidRDefault="00214F80" w:rsidP="00214F80">
      <w:pPr>
        <w:pStyle w:val="ListBullet"/>
        <w:tabs>
          <w:tab w:val="num" w:pos="360"/>
        </w:tabs>
        <w:ind w:left="360" w:hanging="360"/>
        <w:rPr>
          <w:sz w:val="24"/>
          <w:szCs w:val="24"/>
        </w:rPr>
      </w:pPr>
      <w:r w:rsidRPr="00BB1006">
        <w:rPr>
          <w:sz w:val="24"/>
          <w:szCs w:val="24"/>
        </w:rPr>
        <w:lastRenderedPageBreak/>
        <w:t>Practical recommendations and a communication plan to support classroom and home strategies and reasonable adjustments.</w:t>
      </w:r>
    </w:p>
    <w:p w14:paraId="4FFF8FAB" w14:textId="77777777" w:rsidR="00214F80" w:rsidRDefault="00214F80" w:rsidP="00214F80">
      <w:pPr>
        <w:pStyle w:val="ListBullet"/>
        <w:tabs>
          <w:tab w:val="num" w:pos="360"/>
        </w:tabs>
        <w:ind w:left="360" w:hanging="360"/>
      </w:pPr>
      <w:r>
        <w:t>Training and consultation for education staff to build confidence in identifying and supporting SLCN.</w:t>
      </w:r>
    </w:p>
    <w:p w14:paraId="1A376AB7" w14:textId="77777777" w:rsidR="00214F80" w:rsidRDefault="00214F80" w:rsidP="00214F80">
      <w:pPr>
        <w:pStyle w:val="ListBullet"/>
        <w:tabs>
          <w:tab w:val="num" w:pos="360"/>
        </w:tabs>
        <w:ind w:left="360" w:hanging="360"/>
      </w:pPr>
      <w:r>
        <w:t>Multi-agency collaboration with YJS, education, health and (where appropriate) early help and safeguarding partners.</w:t>
      </w:r>
    </w:p>
    <w:p w14:paraId="5B05AEEB" w14:textId="77777777" w:rsidR="00214F80" w:rsidRPr="00BB1006" w:rsidRDefault="00214F80" w:rsidP="00214F80">
      <w:pPr>
        <w:pStyle w:val="Heading2"/>
        <w:rPr>
          <w:b w:val="0"/>
          <w:bCs w:val="0"/>
        </w:rPr>
      </w:pPr>
      <w:r w:rsidRPr="00BB1006">
        <w:rPr>
          <w:b w:val="0"/>
          <w:bCs w:val="0"/>
        </w:rPr>
        <w:t>4.2 Eligibility and referral criteria</w:t>
      </w:r>
    </w:p>
    <w:p w14:paraId="04144F4E" w14:textId="77777777" w:rsidR="00214F80" w:rsidRPr="00BB1006" w:rsidRDefault="00214F80" w:rsidP="00214F80">
      <w:pPr>
        <w:rPr>
          <w:sz w:val="24"/>
          <w:szCs w:val="24"/>
        </w:rPr>
      </w:pPr>
      <w:r w:rsidRPr="00BB1006">
        <w:rPr>
          <w:sz w:val="24"/>
          <w:szCs w:val="24"/>
        </w:rPr>
        <w:t>Referrals are prioritised for children and young people who are: (a) at high risk of suspension/permanent exclusion; (b) subject to managed moves or part-time timetables; (c) being reintegrated from alternative provision.</w:t>
      </w:r>
    </w:p>
    <w:p w14:paraId="1A332653" w14:textId="77777777" w:rsidR="00214F80" w:rsidRPr="00BB1006" w:rsidRDefault="00214F80" w:rsidP="00214F80">
      <w:pPr>
        <w:pStyle w:val="Heading1"/>
        <w:rPr>
          <w:b w:val="0"/>
          <w:bCs w:val="0"/>
          <w:sz w:val="32"/>
          <w:szCs w:val="32"/>
        </w:rPr>
      </w:pPr>
      <w:r w:rsidRPr="00BB1006">
        <w:rPr>
          <w:b w:val="0"/>
          <w:bCs w:val="0"/>
          <w:sz w:val="32"/>
          <w:szCs w:val="32"/>
        </w:rPr>
        <w:t>5. Evidence-Informed Referral Pathway</w:t>
      </w:r>
    </w:p>
    <w:p w14:paraId="37520077" w14:textId="77777777" w:rsidR="00214F80" w:rsidRPr="00BB1006" w:rsidRDefault="00214F80" w:rsidP="00214F80">
      <w:pPr>
        <w:pStyle w:val="Heading2"/>
        <w:rPr>
          <w:b w:val="0"/>
          <w:bCs w:val="0"/>
        </w:rPr>
      </w:pPr>
      <w:r w:rsidRPr="00BB1006">
        <w:rPr>
          <w:b w:val="0"/>
          <w:bCs w:val="0"/>
        </w:rPr>
        <w:t>5.1 Step-by-step pathway</w:t>
      </w:r>
    </w:p>
    <w:p w14:paraId="5FE8A58D" w14:textId="77777777" w:rsidR="00214F80" w:rsidRPr="00BB1006" w:rsidRDefault="00214F80" w:rsidP="00214F80">
      <w:pPr>
        <w:pStyle w:val="Heading3"/>
        <w:rPr>
          <w:rFonts w:asciiTheme="minorHAnsi" w:hAnsiTheme="minorHAnsi" w:cstheme="minorHAnsi"/>
          <w:b w:val="0"/>
          <w:bCs w:val="0"/>
        </w:rPr>
      </w:pPr>
      <w:r w:rsidRPr="00BB1006">
        <w:rPr>
          <w:rFonts w:asciiTheme="minorHAnsi" w:hAnsiTheme="minorHAnsi" w:cstheme="minorHAnsi"/>
          <w:b w:val="0"/>
          <w:bCs w:val="0"/>
        </w:rPr>
        <w:t>Step 1 – Identification by setting</w:t>
      </w:r>
    </w:p>
    <w:p w14:paraId="7B2407A2" w14:textId="77777777" w:rsidR="00214F80" w:rsidRPr="00BB1006" w:rsidRDefault="00214F80" w:rsidP="00214F80">
      <w:pPr>
        <w:rPr>
          <w:sz w:val="24"/>
          <w:szCs w:val="24"/>
        </w:rPr>
      </w:pPr>
      <w:r w:rsidRPr="00BB1006">
        <w:rPr>
          <w:sz w:val="24"/>
          <w:szCs w:val="24"/>
        </w:rPr>
        <w:t>School/education provider uses existing pastoral/SEND processes and PRRE pre-assessment prompts to identify a pupil at high risk of exclusion or reintegration breakdown.</w:t>
      </w:r>
    </w:p>
    <w:p w14:paraId="3045C3E5" w14:textId="77777777" w:rsidR="00214F80" w:rsidRPr="00BB1006" w:rsidRDefault="00214F80" w:rsidP="00214F80">
      <w:pPr>
        <w:pStyle w:val="Heading3"/>
        <w:rPr>
          <w:b w:val="0"/>
          <w:bCs w:val="0"/>
        </w:rPr>
      </w:pPr>
      <w:r w:rsidRPr="00BB1006">
        <w:rPr>
          <w:b w:val="0"/>
          <w:bCs w:val="0"/>
        </w:rPr>
        <w:t>Step 2 – Consent and information gathering</w:t>
      </w:r>
    </w:p>
    <w:p w14:paraId="7F78ED59" w14:textId="77777777" w:rsidR="00214F80" w:rsidRPr="00BB1006" w:rsidRDefault="00214F80" w:rsidP="00214F80">
      <w:pPr>
        <w:rPr>
          <w:sz w:val="24"/>
          <w:szCs w:val="24"/>
        </w:rPr>
      </w:pPr>
      <w:r w:rsidRPr="00BB1006">
        <w:rPr>
          <w:sz w:val="24"/>
          <w:szCs w:val="24"/>
        </w:rPr>
        <w:t>Setting secures parent/carer and pupil consent (as appropriate) and gathers relevant supporting information (attendance, exclusion history, SEN support, concerns, strengths).</w:t>
      </w:r>
    </w:p>
    <w:p w14:paraId="5D366245" w14:textId="77777777" w:rsidR="00214F80" w:rsidRPr="00BB1006" w:rsidRDefault="00214F80" w:rsidP="00214F80">
      <w:pPr>
        <w:pStyle w:val="Heading3"/>
        <w:rPr>
          <w:b w:val="0"/>
          <w:bCs w:val="0"/>
        </w:rPr>
      </w:pPr>
      <w:r w:rsidRPr="00BB1006">
        <w:rPr>
          <w:b w:val="0"/>
          <w:bCs w:val="0"/>
        </w:rPr>
        <w:t>Step 3 – Referral submission</w:t>
      </w:r>
    </w:p>
    <w:p w14:paraId="0A64E37C" w14:textId="77777777" w:rsidR="00214F80" w:rsidRPr="00BB1006" w:rsidRDefault="00214F80" w:rsidP="00214F80">
      <w:pPr>
        <w:rPr>
          <w:rFonts w:cstheme="minorHAnsi"/>
          <w:sz w:val="24"/>
          <w:szCs w:val="24"/>
        </w:rPr>
      </w:pPr>
      <w:r w:rsidRPr="00BB1006">
        <w:rPr>
          <w:rFonts w:cstheme="minorHAnsi"/>
          <w:sz w:val="24"/>
          <w:szCs w:val="24"/>
        </w:rPr>
        <w:t>Referral is submitted to MKYJS PRRE via the agreed form and service-level agreement arrangements.</w:t>
      </w:r>
    </w:p>
    <w:p w14:paraId="5B77CD88" w14:textId="77777777" w:rsidR="00214F80" w:rsidRPr="00BB1006" w:rsidRDefault="00214F80" w:rsidP="00214F80">
      <w:pPr>
        <w:pStyle w:val="Heading3"/>
        <w:rPr>
          <w:rFonts w:asciiTheme="minorHAnsi" w:hAnsiTheme="minorHAnsi" w:cstheme="minorHAnsi"/>
          <w:b w:val="0"/>
          <w:bCs w:val="0"/>
          <w:szCs w:val="24"/>
        </w:rPr>
      </w:pPr>
      <w:r w:rsidRPr="00BB1006">
        <w:rPr>
          <w:rFonts w:asciiTheme="minorHAnsi" w:hAnsiTheme="minorHAnsi" w:cstheme="minorHAnsi"/>
          <w:b w:val="0"/>
          <w:bCs w:val="0"/>
          <w:szCs w:val="24"/>
        </w:rPr>
        <w:t>Step 4 – Triage and allocation</w:t>
      </w:r>
    </w:p>
    <w:p w14:paraId="1E14D12C" w14:textId="77777777" w:rsidR="00214F80" w:rsidRPr="00BB1006" w:rsidRDefault="00214F80" w:rsidP="00214F80">
      <w:pPr>
        <w:rPr>
          <w:rFonts w:cstheme="minorHAnsi"/>
          <w:sz w:val="24"/>
          <w:szCs w:val="24"/>
        </w:rPr>
      </w:pPr>
      <w:r w:rsidRPr="00BB1006">
        <w:rPr>
          <w:rFonts w:cstheme="minorHAnsi"/>
          <w:sz w:val="24"/>
          <w:szCs w:val="24"/>
        </w:rPr>
        <w:t>MKYJS/SLT triage for suitability, risk and urgency, and allocate an assessment slot.</w:t>
      </w:r>
    </w:p>
    <w:p w14:paraId="1FA934A4" w14:textId="77777777" w:rsidR="00214F80" w:rsidRPr="00BB1006" w:rsidRDefault="00214F80" w:rsidP="00214F80">
      <w:pPr>
        <w:pStyle w:val="Heading3"/>
        <w:rPr>
          <w:rFonts w:asciiTheme="minorHAnsi" w:hAnsiTheme="minorHAnsi" w:cstheme="minorHAnsi"/>
          <w:b w:val="0"/>
          <w:bCs w:val="0"/>
          <w:szCs w:val="24"/>
        </w:rPr>
      </w:pPr>
      <w:r w:rsidRPr="00BB1006">
        <w:rPr>
          <w:rFonts w:asciiTheme="minorHAnsi" w:hAnsiTheme="minorHAnsi" w:cstheme="minorHAnsi"/>
          <w:b w:val="0"/>
          <w:bCs w:val="0"/>
          <w:szCs w:val="24"/>
        </w:rPr>
        <w:t>Step 5 – Assessment</w:t>
      </w:r>
    </w:p>
    <w:p w14:paraId="39553F23" w14:textId="77777777" w:rsidR="00214F80" w:rsidRPr="00BB1006" w:rsidRDefault="00214F80" w:rsidP="00214F80">
      <w:pPr>
        <w:rPr>
          <w:rFonts w:cstheme="minorHAnsi"/>
          <w:sz w:val="24"/>
          <w:szCs w:val="24"/>
        </w:rPr>
      </w:pPr>
      <w:r w:rsidRPr="00BB1006">
        <w:rPr>
          <w:rFonts w:cstheme="minorHAnsi"/>
          <w:sz w:val="24"/>
          <w:szCs w:val="24"/>
        </w:rPr>
        <w:t>SLT completes assessment (screening/standardised assessment and functional observations as appropriate) to identify SLCN and related needs.</w:t>
      </w:r>
    </w:p>
    <w:p w14:paraId="1663E71A" w14:textId="77777777" w:rsidR="00214F80" w:rsidRPr="00BB1006" w:rsidRDefault="00214F80" w:rsidP="00214F80">
      <w:pPr>
        <w:pStyle w:val="Heading3"/>
        <w:rPr>
          <w:rFonts w:asciiTheme="minorHAnsi" w:hAnsiTheme="minorHAnsi" w:cstheme="minorHAnsi"/>
          <w:b w:val="0"/>
          <w:bCs w:val="0"/>
          <w:szCs w:val="24"/>
        </w:rPr>
      </w:pPr>
      <w:r w:rsidRPr="00BB1006">
        <w:rPr>
          <w:rFonts w:asciiTheme="minorHAnsi" w:hAnsiTheme="minorHAnsi" w:cstheme="minorHAnsi"/>
          <w:b w:val="0"/>
          <w:bCs w:val="0"/>
          <w:szCs w:val="24"/>
        </w:rPr>
        <w:t>Step 6 – Feedback and plan</w:t>
      </w:r>
    </w:p>
    <w:p w14:paraId="11A58B91" w14:textId="77777777" w:rsidR="00214F80" w:rsidRPr="00BB1006" w:rsidRDefault="00214F80" w:rsidP="00214F80">
      <w:pPr>
        <w:rPr>
          <w:rFonts w:cstheme="minorHAnsi"/>
          <w:sz w:val="24"/>
          <w:szCs w:val="24"/>
        </w:rPr>
      </w:pPr>
      <w:r w:rsidRPr="00BB1006">
        <w:rPr>
          <w:rFonts w:cstheme="minorHAnsi"/>
          <w:sz w:val="24"/>
          <w:szCs w:val="24"/>
        </w:rPr>
        <w:t>Feedback meeting and written report provided to the setting and parent / carer with recommended strategies and adjustments; signposting to wider pathways if needed.</w:t>
      </w:r>
    </w:p>
    <w:p w14:paraId="16E7F938" w14:textId="77777777" w:rsidR="00214F80" w:rsidRPr="00BB1006" w:rsidRDefault="00214F80" w:rsidP="00214F80">
      <w:pPr>
        <w:pStyle w:val="Heading3"/>
        <w:rPr>
          <w:rFonts w:asciiTheme="minorHAnsi" w:hAnsiTheme="minorHAnsi" w:cstheme="minorHAnsi"/>
          <w:b w:val="0"/>
          <w:bCs w:val="0"/>
          <w:szCs w:val="24"/>
        </w:rPr>
      </w:pPr>
      <w:r w:rsidRPr="00BB1006">
        <w:rPr>
          <w:rFonts w:asciiTheme="minorHAnsi" w:hAnsiTheme="minorHAnsi" w:cstheme="minorHAnsi"/>
          <w:b w:val="0"/>
          <w:bCs w:val="0"/>
          <w:szCs w:val="24"/>
        </w:rPr>
        <w:t>Step 7 – Review and embed</w:t>
      </w:r>
    </w:p>
    <w:p w14:paraId="5C508E04" w14:textId="77777777" w:rsidR="00214F80" w:rsidRPr="00BB1006" w:rsidRDefault="00214F80" w:rsidP="00214F80">
      <w:pPr>
        <w:rPr>
          <w:rFonts w:cstheme="minorHAnsi"/>
          <w:sz w:val="24"/>
          <w:szCs w:val="24"/>
        </w:rPr>
      </w:pPr>
      <w:r w:rsidRPr="00BB1006">
        <w:rPr>
          <w:rFonts w:cstheme="minorHAnsi"/>
          <w:sz w:val="24"/>
          <w:szCs w:val="24"/>
        </w:rPr>
        <w:t>Setting implements strategies; PRRE offers follow-up consultation/training, and outcomes are reviewed (e.g., attendance, behaviour incidents, suspensions/exclusions).</w:t>
      </w:r>
    </w:p>
    <w:p w14:paraId="196523E5" w14:textId="77777777" w:rsidR="00214F80" w:rsidRPr="00BB1006" w:rsidRDefault="00214F80" w:rsidP="00214F80">
      <w:pPr>
        <w:pStyle w:val="Heading2"/>
        <w:rPr>
          <w:rFonts w:asciiTheme="minorHAnsi" w:hAnsiTheme="minorHAnsi" w:cstheme="minorHAnsi"/>
          <w:b w:val="0"/>
          <w:bCs w:val="0"/>
        </w:rPr>
      </w:pPr>
      <w:r w:rsidRPr="00BB1006">
        <w:rPr>
          <w:rFonts w:asciiTheme="minorHAnsi" w:hAnsiTheme="minorHAnsi" w:cstheme="minorHAnsi"/>
          <w:b w:val="0"/>
          <w:bCs w:val="0"/>
        </w:rPr>
        <w:t>5.2 Information governance and safeguarding considerations</w:t>
      </w:r>
    </w:p>
    <w:p w14:paraId="581EC602" w14:textId="77777777" w:rsidR="00214F80" w:rsidRPr="00BB1006" w:rsidRDefault="00214F80" w:rsidP="00214F80">
      <w:pPr>
        <w:rPr>
          <w:rFonts w:cstheme="minorHAnsi"/>
          <w:sz w:val="24"/>
          <w:szCs w:val="24"/>
        </w:rPr>
      </w:pPr>
      <w:r w:rsidRPr="00BB1006">
        <w:rPr>
          <w:rFonts w:cstheme="minorHAnsi"/>
          <w:sz w:val="24"/>
          <w:szCs w:val="24"/>
        </w:rPr>
        <w:t>The PRRE pathway should operate within local information-sharing agreements, consent processes, and safeguarding arrangements. Where risk is identified (e.g., exploitation, harm outside the home), the setting and partners follow local safeguarding procedures.</w:t>
      </w:r>
    </w:p>
    <w:p w14:paraId="2F9F0EF3" w14:textId="77777777" w:rsidR="00214F80" w:rsidRPr="00BB1006" w:rsidRDefault="00214F80" w:rsidP="00214F80">
      <w:pPr>
        <w:pStyle w:val="Heading1"/>
        <w:rPr>
          <w:rFonts w:asciiTheme="minorHAnsi" w:hAnsiTheme="minorHAnsi" w:cstheme="minorHAnsi"/>
          <w:b w:val="0"/>
          <w:bCs w:val="0"/>
          <w:sz w:val="32"/>
          <w:szCs w:val="32"/>
        </w:rPr>
      </w:pPr>
      <w:r w:rsidRPr="00BB1006">
        <w:rPr>
          <w:rFonts w:asciiTheme="minorHAnsi" w:hAnsiTheme="minorHAnsi" w:cstheme="minorHAnsi"/>
          <w:b w:val="0"/>
          <w:bCs w:val="0"/>
          <w:sz w:val="32"/>
          <w:szCs w:val="32"/>
        </w:rPr>
        <w:lastRenderedPageBreak/>
        <w:t>6. Outcomes and Evaluation</w:t>
      </w:r>
    </w:p>
    <w:p w14:paraId="040D3A0D" w14:textId="77777777" w:rsidR="00214F80" w:rsidRPr="00BB1006" w:rsidRDefault="00214F80" w:rsidP="00214F80">
      <w:pPr>
        <w:rPr>
          <w:rFonts w:cstheme="minorHAnsi"/>
          <w:sz w:val="24"/>
          <w:szCs w:val="24"/>
        </w:rPr>
      </w:pPr>
      <w:r w:rsidRPr="00BB1006">
        <w:rPr>
          <w:rFonts w:cstheme="minorHAnsi"/>
          <w:sz w:val="24"/>
          <w:szCs w:val="24"/>
        </w:rPr>
        <w:t>Evaluation should include: (1) activity and reach (referrals, assessments, training sessions); (2) identification outcomes (SLCN profiles); (3) education outcomes (attendance, exclusions, timetable stability); (4) wellbeing and engagement outcomes; and (5) system outcomes (first-time entrants, exploitation indicators where locally measured).</w:t>
      </w:r>
    </w:p>
    <w:p w14:paraId="0A78B9ED" w14:textId="77777777" w:rsidR="00214F80" w:rsidRPr="00BB1006" w:rsidRDefault="00214F80" w:rsidP="00214F80">
      <w:pPr>
        <w:pStyle w:val="Heading1"/>
        <w:rPr>
          <w:rFonts w:asciiTheme="minorHAnsi" w:hAnsiTheme="minorHAnsi" w:cstheme="minorHAnsi"/>
          <w:b w:val="0"/>
          <w:bCs w:val="0"/>
          <w:sz w:val="32"/>
          <w:szCs w:val="32"/>
        </w:rPr>
      </w:pPr>
      <w:r w:rsidRPr="00BB1006">
        <w:rPr>
          <w:rFonts w:asciiTheme="minorHAnsi" w:hAnsiTheme="minorHAnsi" w:cstheme="minorHAnsi"/>
          <w:b w:val="0"/>
          <w:bCs w:val="0"/>
          <w:sz w:val="32"/>
          <w:szCs w:val="32"/>
        </w:rPr>
        <w:t>7. Feedback from Current Education Provisions who engage with PRRE</w:t>
      </w:r>
    </w:p>
    <w:p w14:paraId="54816B39" w14:textId="77777777" w:rsidR="00214F80" w:rsidRPr="00BB1006" w:rsidRDefault="00214F80" w:rsidP="00214F80">
      <w:pPr>
        <w:rPr>
          <w:sz w:val="24"/>
          <w:szCs w:val="24"/>
        </w:rPr>
      </w:pPr>
      <w:r w:rsidRPr="00BB1006">
        <w:rPr>
          <w:sz w:val="24"/>
          <w:szCs w:val="24"/>
        </w:rPr>
        <w:t>‘It’s about working together and having conversations (about the students) and not just a tick-box exercise. The feedback meeting is totally on point – it’s about joined up working’</w:t>
      </w:r>
    </w:p>
    <w:p w14:paraId="03FB5768" w14:textId="77777777" w:rsidR="00214F80" w:rsidRPr="00BB1006" w:rsidRDefault="00214F80" w:rsidP="00214F80">
      <w:pPr>
        <w:rPr>
          <w:sz w:val="24"/>
          <w:szCs w:val="24"/>
        </w:rPr>
      </w:pPr>
      <w:r w:rsidRPr="00BB1006">
        <w:rPr>
          <w:sz w:val="24"/>
          <w:szCs w:val="24"/>
        </w:rPr>
        <w:t xml:space="preserve">The PRRE Project brings a ‘fresh pair of eyes’ </w:t>
      </w:r>
    </w:p>
    <w:p w14:paraId="5C54E142" w14:textId="77777777" w:rsidR="00214F80" w:rsidRPr="00BB1006" w:rsidRDefault="00214F80" w:rsidP="00214F80">
      <w:pPr>
        <w:rPr>
          <w:sz w:val="24"/>
          <w:szCs w:val="24"/>
        </w:rPr>
      </w:pPr>
      <w:r w:rsidRPr="00BB1006">
        <w:rPr>
          <w:sz w:val="24"/>
          <w:szCs w:val="24"/>
        </w:rPr>
        <w:t>The PRRE feedback was very insightful</w:t>
      </w:r>
    </w:p>
    <w:p w14:paraId="3F528ED2" w14:textId="77777777" w:rsidR="00214F80" w:rsidRPr="00BB1006" w:rsidRDefault="00214F80" w:rsidP="00214F80">
      <w:pPr>
        <w:rPr>
          <w:sz w:val="24"/>
          <w:szCs w:val="24"/>
        </w:rPr>
      </w:pPr>
      <w:r w:rsidRPr="00BB1006">
        <w:rPr>
          <w:sz w:val="24"/>
          <w:szCs w:val="24"/>
        </w:rPr>
        <w:t xml:space="preserve">We find the service increasingly useful. The pupils we refer are those we see on a regular basis in Pastoral for behavioural issues. They have often received many interventions and strategies, which have had varying degrees of success. The PRRE service provides a fresh, external perspective on how we can support these harder to reach pupils. The assessment is always well received by the </w:t>
      </w:r>
      <w:proofErr w:type="gramStart"/>
      <w:r w:rsidRPr="00BB1006">
        <w:rPr>
          <w:sz w:val="24"/>
          <w:szCs w:val="24"/>
        </w:rPr>
        <w:t>pupils</w:t>
      </w:r>
      <w:proofErr w:type="gramEnd"/>
      <w:r w:rsidRPr="00BB1006">
        <w:rPr>
          <w:sz w:val="24"/>
          <w:szCs w:val="24"/>
        </w:rPr>
        <w:t xml:space="preserve"> and they are comfortable with the process. The report and follow-up meeting are very useful.</w:t>
      </w:r>
    </w:p>
    <w:p w14:paraId="5D3DF311" w14:textId="77777777" w:rsidR="00214F80" w:rsidRPr="00BB1006" w:rsidRDefault="00214F80" w:rsidP="00214F80">
      <w:pPr>
        <w:rPr>
          <w:rFonts w:eastAsia="Times New Roman"/>
          <w:sz w:val="24"/>
          <w:szCs w:val="24"/>
        </w:rPr>
      </w:pPr>
      <w:r w:rsidRPr="00BB1006">
        <w:rPr>
          <w:rFonts w:eastAsia="Times New Roman"/>
          <w:sz w:val="24"/>
          <w:szCs w:val="24"/>
        </w:rPr>
        <w:t>As a school, we really value your support with the students who have been assessed by you. I would say that it adds lots of value to our teaching as we can start to pinpoint where pupils may lack understanding which is where their sanctions are coming from. It also aids us in exploring all avenues before looking at alternative provisions as we can look at in house support and adjustments first. </w:t>
      </w:r>
    </w:p>
    <w:p w14:paraId="2CA2B8C8" w14:textId="77777777" w:rsidR="00214F80" w:rsidRPr="00BB1006" w:rsidRDefault="00214F80" w:rsidP="00214F80">
      <w:pPr>
        <w:pStyle w:val="Heading1"/>
        <w:rPr>
          <w:b w:val="0"/>
          <w:bCs w:val="0"/>
          <w:sz w:val="32"/>
          <w:szCs w:val="32"/>
        </w:rPr>
      </w:pPr>
      <w:r w:rsidRPr="00BB1006">
        <w:rPr>
          <w:b w:val="0"/>
          <w:bCs w:val="0"/>
          <w:sz w:val="32"/>
          <w:szCs w:val="32"/>
        </w:rPr>
        <w:t>8. Replication Considerations for National Roll-out</w:t>
      </w:r>
    </w:p>
    <w:p w14:paraId="79978FD1" w14:textId="77777777" w:rsidR="00214F80" w:rsidRPr="00BB1006" w:rsidRDefault="00214F80" w:rsidP="00214F80">
      <w:pPr>
        <w:rPr>
          <w:sz w:val="24"/>
          <w:szCs w:val="24"/>
        </w:rPr>
      </w:pPr>
      <w:r w:rsidRPr="00BB1006">
        <w:rPr>
          <w:sz w:val="24"/>
          <w:szCs w:val="24"/>
        </w:rPr>
        <w:t>Key enablers include: SLT capacity and clinical governance; clear eligibility and triage; strong education relationships; information governance; and senior sponsorship through local partnership boards. A phased implementation is recommended (pilot cohort of settings, then scale).</w:t>
      </w:r>
    </w:p>
    <w:p w14:paraId="467549D9" w14:textId="77777777" w:rsidR="00214F80" w:rsidRPr="00BB1006" w:rsidRDefault="00214F80" w:rsidP="00214F80">
      <w:pPr>
        <w:pStyle w:val="Heading1"/>
        <w:rPr>
          <w:b w:val="0"/>
          <w:bCs w:val="0"/>
          <w:sz w:val="32"/>
          <w:szCs w:val="32"/>
        </w:rPr>
      </w:pPr>
      <w:r w:rsidRPr="00BB1006">
        <w:rPr>
          <w:b w:val="0"/>
          <w:bCs w:val="0"/>
          <w:sz w:val="32"/>
          <w:szCs w:val="32"/>
        </w:rPr>
        <w:t>Appendix A: Suggested document set for roll-out</w:t>
      </w:r>
    </w:p>
    <w:p w14:paraId="1C9EECAA" w14:textId="77777777" w:rsidR="00214F80" w:rsidRPr="00BB1006" w:rsidRDefault="00214F80" w:rsidP="00214F80">
      <w:pPr>
        <w:pStyle w:val="ListBullet"/>
        <w:tabs>
          <w:tab w:val="num" w:pos="360"/>
        </w:tabs>
        <w:ind w:left="360" w:hanging="360"/>
        <w:rPr>
          <w:sz w:val="24"/>
          <w:szCs w:val="24"/>
        </w:rPr>
      </w:pPr>
      <w:r w:rsidRPr="00BB1006">
        <w:rPr>
          <w:sz w:val="24"/>
          <w:szCs w:val="24"/>
        </w:rPr>
        <w:t>Service Level Agreement</w:t>
      </w:r>
    </w:p>
    <w:p w14:paraId="17E9FFA4" w14:textId="77777777" w:rsidR="00214F80" w:rsidRPr="00BB1006" w:rsidRDefault="00214F80" w:rsidP="00214F80">
      <w:pPr>
        <w:pStyle w:val="ListBullet"/>
        <w:tabs>
          <w:tab w:val="num" w:pos="360"/>
        </w:tabs>
        <w:ind w:left="360" w:hanging="360"/>
        <w:rPr>
          <w:sz w:val="24"/>
          <w:szCs w:val="24"/>
        </w:rPr>
      </w:pPr>
      <w:r w:rsidRPr="00BB1006">
        <w:rPr>
          <w:sz w:val="24"/>
          <w:szCs w:val="24"/>
        </w:rPr>
        <w:t xml:space="preserve">Referral form </w:t>
      </w:r>
    </w:p>
    <w:p w14:paraId="0700EDCE" w14:textId="77777777" w:rsidR="00214F80" w:rsidRPr="00BB1006" w:rsidRDefault="00214F80" w:rsidP="00214F80">
      <w:pPr>
        <w:pStyle w:val="ListBullet"/>
        <w:tabs>
          <w:tab w:val="num" w:pos="360"/>
        </w:tabs>
        <w:ind w:left="360" w:hanging="360"/>
        <w:rPr>
          <w:sz w:val="24"/>
          <w:szCs w:val="24"/>
        </w:rPr>
      </w:pPr>
      <w:r w:rsidRPr="00BB1006">
        <w:rPr>
          <w:sz w:val="24"/>
          <w:szCs w:val="24"/>
        </w:rPr>
        <w:t>Assessment report template and feedback form</w:t>
      </w:r>
    </w:p>
    <w:p w14:paraId="49AFA64B" w14:textId="77777777" w:rsidR="00214F80" w:rsidRPr="00BB1006" w:rsidRDefault="00214F80" w:rsidP="00214F80">
      <w:pPr>
        <w:pStyle w:val="ListBullet"/>
        <w:tabs>
          <w:tab w:val="num" w:pos="360"/>
        </w:tabs>
        <w:ind w:left="360" w:hanging="360"/>
        <w:rPr>
          <w:sz w:val="24"/>
          <w:szCs w:val="24"/>
        </w:rPr>
      </w:pPr>
      <w:r w:rsidRPr="00BB1006">
        <w:rPr>
          <w:sz w:val="24"/>
          <w:szCs w:val="24"/>
        </w:rPr>
        <w:t>Training offer outline</w:t>
      </w:r>
    </w:p>
    <w:p w14:paraId="728B5665" w14:textId="77777777" w:rsidR="00214F80" w:rsidRPr="00BB1006" w:rsidRDefault="00214F80" w:rsidP="00214F80">
      <w:pPr>
        <w:pStyle w:val="ListBullet"/>
        <w:tabs>
          <w:tab w:val="num" w:pos="360"/>
        </w:tabs>
        <w:ind w:left="360" w:hanging="360"/>
        <w:rPr>
          <w:sz w:val="24"/>
          <w:szCs w:val="24"/>
        </w:rPr>
      </w:pPr>
      <w:r w:rsidRPr="00BB1006">
        <w:rPr>
          <w:sz w:val="24"/>
          <w:szCs w:val="24"/>
        </w:rPr>
        <w:t>Evaluation framework and KPI set</w:t>
      </w:r>
    </w:p>
    <w:p w14:paraId="667E6803" w14:textId="77777777" w:rsidR="00214F80" w:rsidRPr="00BB1006" w:rsidRDefault="00214F80" w:rsidP="00214F80">
      <w:pPr>
        <w:pStyle w:val="ListBullet"/>
        <w:tabs>
          <w:tab w:val="num" w:pos="360"/>
        </w:tabs>
        <w:ind w:left="360" w:hanging="360"/>
        <w:rPr>
          <w:sz w:val="24"/>
          <w:szCs w:val="24"/>
        </w:rPr>
      </w:pPr>
      <w:r w:rsidRPr="00BB1006">
        <w:rPr>
          <w:sz w:val="24"/>
          <w:szCs w:val="24"/>
        </w:rPr>
        <w:t>Governance and risk/issue log</w:t>
      </w:r>
    </w:p>
    <w:p w14:paraId="1A6916BB" w14:textId="77777777" w:rsidR="00214F80" w:rsidRPr="00BB1006" w:rsidRDefault="00214F80" w:rsidP="00214F80">
      <w:pPr>
        <w:pStyle w:val="Heading1"/>
        <w:rPr>
          <w:rFonts w:asciiTheme="minorHAnsi" w:hAnsiTheme="minorHAnsi" w:cstheme="minorHAnsi"/>
          <w:b w:val="0"/>
          <w:bCs w:val="0"/>
          <w:sz w:val="32"/>
          <w:szCs w:val="32"/>
        </w:rPr>
      </w:pPr>
      <w:r w:rsidRPr="00BB1006">
        <w:rPr>
          <w:rFonts w:asciiTheme="minorHAnsi" w:hAnsiTheme="minorHAnsi" w:cstheme="minorHAnsi"/>
          <w:b w:val="0"/>
          <w:bCs w:val="0"/>
          <w:sz w:val="32"/>
          <w:szCs w:val="32"/>
        </w:rPr>
        <w:t>Appendix B: Key references</w:t>
      </w:r>
    </w:p>
    <w:p w14:paraId="4C99BD07" w14:textId="6A4FE94D" w:rsidR="00214F80" w:rsidRPr="00BB1006" w:rsidRDefault="00214F80" w:rsidP="00214F80">
      <w:pPr>
        <w:rPr>
          <w:rFonts w:cstheme="minorHAnsi"/>
          <w:sz w:val="24"/>
          <w:szCs w:val="24"/>
        </w:rPr>
      </w:pPr>
      <w:r w:rsidRPr="00BB1006">
        <w:rPr>
          <w:rFonts w:cstheme="minorHAnsi"/>
          <w:sz w:val="24"/>
          <w:szCs w:val="24"/>
        </w:rPr>
        <w:t>Milton Keynes Youth Justice Service (2024). Promoting reintegration and reducing exclusions project. Youth Justice Resource Hub. Available at: https://yjresourcehub.uk/promoting-reintegration-and-reducing-exclusions-project-from-milton-keynes-youth-justice-service/</w:t>
      </w:r>
      <w:r w:rsidR="00BB1006">
        <w:rPr>
          <w:rFonts w:cstheme="minorHAnsi"/>
          <w:sz w:val="24"/>
          <w:szCs w:val="24"/>
        </w:rPr>
        <w:t>.</w:t>
      </w:r>
    </w:p>
    <w:p w14:paraId="40F59F1E" w14:textId="5B6F21E0" w:rsidR="00214F80" w:rsidRPr="00BB1006" w:rsidRDefault="00214F80" w:rsidP="00214F80">
      <w:pPr>
        <w:rPr>
          <w:rFonts w:cstheme="minorHAnsi"/>
          <w:sz w:val="24"/>
          <w:szCs w:val="24"/>
        </w:rPr>
      </w:pPr>
      <w:r w:rsidRPr="00BB1006">
        <w:rPr>
          <w:rFonts w:cstheme="minorHAnsi"/>
          <w:sz w:val="24"/>
          <w:szCs w:val="24"/>
        </w:rPr>
        <w:lastRenderedPageBreak/>
        <w:t xml:space="preserve">Royal College of Speech and Language Therapists (2024). Supporting children and young people in the justice system: factsheet. Available at: https://www.rcslt.org/wp-content/uploads/2024/11/RCSLT-Supporting-children-and-young-people-in-the-justice-system-Factsheet-2024.pdf </w:t>
      </w:r>
    </w:p>
    <w:p w14:paraId="18087384" w14:textId="51737E9E" w:rsidR="00806C53" w:rsidRPr="00BB1006" w:rsidRDefault="00214F80" w:rsidP="00BB1006">
      <w:pPr>
        <w:rPr>
          <w:rFonts w:cstheme="minorHAnsi"/>
          <w:sz w:val="24"/>
          <w:szCs w:val="24"/>
        </w:rPr>
      </w:pPr>
      <w:r w:rsidRPr="00BB1006">
        <w:rPr>
          <w:rFonts w:cstheme="minorHAnsi"/>
          <w:sz w:val="24"/>
          <w:szCs w:val="24"/>
        </w:rPr>
        <w:t xml:space="preserve">Department for Education (2025). Identifying and supporting children and young people with speech, language and communication needs: a rapid evidence </w:t>
      </w:r>
      <w:proofErr w:type="gramStart"/>
      <w:r w:rsidRPr="00BB1006">
        <w:rPr>
          <w:rFonts w:cstheme="minorHAnsi"/>
          <w:sz w:val="24"/>
          <w:szCs w:val="24"/>
        </w:rPr>
        <w:t>review</w:t>
      </w:r>
      <w:proofErr w:type="gramEnd"/>
      <w:r w:rsidRPr="00BB1006">
        <w:rPr>
          <w:rFonts w:cstheme="minorHAnsi"/>
          <w:sz w:val="24"/>
          <w:szCs w:val="24"/>
        </w:rPr>
        <w:t xml:space="preserve">. Available at: https://assets.publishing.service.gov.uk/media/68d65f279ce370a7e0a0fd31/Identifying_and_supporting_children_and_young_people_with_speech_language_and_communication_needs_a_rapid_evidence_review.pdf </w:t>
      </w:r>
    </w:p>
    <w:sectPr w:rsidR="00806C53" w:rsidRPr="00BB1006" w:rsidSect="007A7BE0">
      <w:headerReference w:type="default" r:id="rId10"/>
      <w:footerReference w:type="default" r:id="rId11"/>
      <w:headerReference w:type="first" r:id="rId12"/>
      <w:pgSz w:w="11906" w:h="16838"/>
      <w:pgMar w:top="720" w:right="720" w:bottom="720" w:left="720" w:header="96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6599" w14:textId="77777777" w:rsidR="00214F80" w:rsidRDefault="00214F80" w:rsidP="00F45CF3">
      <w:pPr>
        <w:spacing w:after="0" w:line="240" w:lineRule="auto"/>
      </w:pPr>
      <w:r>
        <w:separator/>
      </w:r>
    </w:p>
  </w:endnote>
  <w:endnote w:type="continuationSeparator" w:id="0">
    <w:p w14:paraId="71055EE9" w14:textId="77777777" w:rsidR="00214F80" w:rsidRDefault="00214F80" w:rsidP="00F45CF3">
      <w:pPr>
        <w:spacing w:after="0" w:line="240" w:lineRule="auto"/>
      </w:pPr>
      <w:r>
        <w:continuationSeparator/>
      </w:r>
    </w:p>
  </w:endnote>
  <w:endnote w:type="continuationNotice" w:id="1">
    <w:p w14:paraId="6A78CE69" w14:textId="77777777" w:rsidR="00214F80" w:rsidRDefault="00214F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8924A" w14:textId="77777777"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7541B" w14:textId="77777777" w:rsidR="00214F80" w:rsidRDefault="00214F80" w:rsidP="00F45CF3">
      <w:pPr>
        <w:spacing w:after="0" w:line="240" w:lineRule="auto"/>
      </w:pPr>
      <w:r>
        <w:separator/>
      </w:r>
    </w:p>
  </w:footnote>
  <w:footnote w:type="continuationSeparator" w:id="0">
    <w:p w14:paraId="7915C65D" w14:textId="77777777" w:rsidR="00214F80" w:rsidRDefault="00214F80" w:rsidP="00F45CF3">
      <w:pPr>
        <w:spacing w:after="0" w:line="240" w:lineRule="auto"/>
      </w:pPr>
      <w:r>
        <w:continuationSeparator/>
      </w:r>
    </w:p>
  </w:footnote>
  <w:footnote w:type="continuationNotice" w:id="1">
    <w:p w14:paraId="516BB3DD" w14:textId="77777777" w:rsidR="00214F80" w:rsidRDefault="00214F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E326" w14:textId="77777777" w:rsidR="00F45CF3" w:rsidRDefault="00F2793B"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47E5FC53">
              <wp:simplePos x="0" y="0"/>
              <wp:positionH relativeFrom="column">
                <wp:posOffset>-5658245</wp:posOffset>
              </wp:positionH>
              <wp:positionV relativeFrom="paragraph">
                <wp:posOffset>4534535</wp:posOffset>
              </wp:positionV>
              <wp:extent cx="10754678" cy="359410"/>
              <wp:effectExtent l="0" t="3175" r="5715" b="5715"/>
              <wp:wrapNone/>
              <wp:docPr id="598649480" name="Rectangle 598649480"/>
              <wp:cNvGraphicFramePr/>
              <a:graphic xmlns:a="http://schemas.openxmlformats.org/drawingml/2006/main">
                <a:graphicData uri="http://schemas.microsoft.com/office/word/2010/wordprocessingShape">
                  <wps:wsp>
                    <wps:cNvSpPr/>
                    <wps:spPr>
                      <a:xfrm rot="5400000">
                        <a:off x="0" y="0"/>
                        <a:ext cx="10754678" cy="359410"/>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C3235A" id="Rectangle 598649480" o:spid="_x0000_s1026" style="position:absolute;margin-left:-445.55pt;margin-top:357.05pt;width:846.85pt;height:28.3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" fillcolor="#008796"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7CF4" w14:textId="77777777" w:rsidR="007A7BE0" w:rsidRDefault="00391F01">
    <w:pPr>
      <w:pStyle w:val="Header"/>
    </w:pPr>
    <w:r>
      <w:rPr>
        <w:noProof/>
        <w:lang w:eastAsia="en-GB"/>
      </w:rPr>
      <mc:AlternateContent>
        <mc:Choice Requires="wps">
          <w:drawing>
            <wp:anchor distT="0" distB="0" distL="114300" distR="114300" simplePos="0" relativeHeight="251661313" behindDoc="0" locked="0" layoutInCell="1" allowOverlap="1" wp14:anchorId="42770917" wp14:editId="545E2DE0">
              <wp:simplePos x="0" y="0"/>
              <wp:positionH relativeFrom="column">
                <wp:posOffset>-5645785</wp:posOffset>
              </wp:positionH>
              <wp:positionV relativeFrom="paragraph">
                <wp:posOffset>4589145</wp:posOffset>
              </wp:positionV>
              <wp:extent cx="10754360" cy="359410"/>
              <wp:effectExtent l="0" t="3175" r="5715" b="5715"/>
              <wp:wrapNone/>
              <wp:docPr id="1510539166" name="Rectangle 1510539166"/>
              <wp:cNvGraphicFramePr/>
              <a:graphic xmlns:a="http://schemas.openxmlformats.org/drawingml/2006/main">
                <a:graphicData uri="http://schemas.microsoft.com/office/word/2010/wordprocessingShape">
                  <wps:wsp>
                    <wps:cNvSpPr/>
                    <wps:spPr>
                      <a:xfrm rot="5400000">
                        <a:off x="0" y="0"/>
                        <a:ext cx="10754360" cy="359410"/>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B1663" id="Rectangle 1510539166" o:spid="_x0000_s1026" style="position:absolute;margin-left:-444.55pt;margin-top:361.35pt;width:846.8pt;height:28.3pt;rotation:90;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" fillcolor="#008796" stroked="f" strokeweight="1pt"/>
          </w:pict>
        </mc:Fallback>
      </mc:AlternateContent>
    </w:r>
    <w:r w:rsidR="007A7BE0">
      <w:rPr>
        <w:noProof/>
      </w:rPr>
      <w:drawing>
        <wp:anchor distT="0" distB="0" distL="114300" distR="114300" simplePos="0" relativeHeight="251660289" behindDoc="0" locked="0" layoutInCell="1" allowOverlap="1" wp14:anchorId="72BAD4D2" wp14:editId="39A39A2B">
          <wp:simplePos x="0" y="0"/>
          <wp:positionH relativeFrom="column">
            <wp:posOffset>4225925</wp:posOffset>
          </wp:positionH>
          <wp:positionV relativeFrom="paragraph">
            <wp:posOffset>-149225</wp:posOffset>
          </wp:positionV>
          <wp:extent cx="2535555" cy="632460"/>
          <wp:effectExtent l="0" t="0" r="4445" b="2540"/>
          <wp:wrapNone/>
          <wp:docPr id="1110825764" name="Picture 111082576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104E398"/>
    <w:lvl w:ilvl="0">
      <w:start w:val="1"/>
      <w:numFmt w:val="bullet"/>
      <w:pStyle w:val="ListBullet"/>
      <w:lvlText w:val=""/>
      <w:lvlJc w:val="left"/>
      <w:pPr>
        <w:tabs>
          <w:tab w:val="num" w:pos="360"/>
        </w:tabs>
        <w:ind w:left="360" w:hanging="360"/>
      </w:pPr>
      <w:rPr>
        <w:rFonts w:ascii="Symbol" w:hAnsi="Symbol" w:hint="default"/>
      </w:rPr>
    </w:lvl>
  </w:abstractNum>
  <w:num w:numId="1" w16cid:durableId="1025013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80"/>
    <w:rsid w:val="00045D9C"/>
    <w:rsid w:val="00064DC1"/>
    <w:rsid w:val="000C6E1C"/>
    <w:rsid w:val="000E3B9C"/>
    <w:rsid w:val="0017540B"/>
    <w:rsid w:val="00177D4A"/>
    <w:rsid w:val="001E2824"/>
    <w:rsid w:val="00211B24"/>
    <w:rsid w:val="00214F80"/>
    <w:rsid w:val="00273564"/>
    <w:rsid w:val="00391F01"/>
    <w:rsid w:val="00420C3A"/>
    <w:rsid w:val="004A364B"/>
    <w:rsid w:val="004B30AF"/>
    <w:rsid w:val="005C3BD0"/>
    <w:rsid w:val="006043E2"/>
    <w:rsid w:val="00637D75"/>
    <w:rsid w:val="0064246E"/>
    <w:rsid w:val="00643E56"/>
    <w:rsid w:val="00644957"/>
    <w:rsid w:val="006564BE"/>
    <w:rsid w:val="006C084B"/>
    <w:rsid w:val="006C57D6"/>
    <w:rsid w:val="006D5567"/>
    <w:rsid w:val="006D7CC1"/>
    <w:rsid w:val="006F1198"/>
    <w:rsid w:val="006F276C"/>
    <w:rsid w:val="00734EC0"/>
    <w:rsid w:val="007A7BE0"/>
    <w:rsid w:val="007E4EA3"/>
    <w:rsid w:val="00806C53"/>
    <w:rsid w:val="00830F68"/>
    <w:rsid w:val="008326A4"/>
    <w:rsid w:val="008416E5"/>
    <w:rsid w:val="00882D65"/>
    <w:rsid w:val="008E36FF"/>
    <w:rsid w:val="008E461A"/>
    <w:rsid w:val="00981D37"/>
    <w:rsid w:val="00992B8E"/>
    <w:rsid w:val="00A45DA9"/>
    <w:rsid w:val="00AD1F73"/>
    <w:rsid w:val="00AE5F48"/>
    <w:rsid w:val="00AF1785"/>
    <w:rsid w:val="00B03B56"/>
    <w:rsid w:val="00B350BA"/>
    <w:rsid w:val="00B466BE"/>
    <w:rsid w:val="00B73D5B"/>
    <w:rsid w:val="00BB1006"/>
    <w:rsid w:val="00BE5187"/>
    <w:rsid w:val="00C97CF8"/>
    <w:rsid w:val="00CA286C"/>
    <w:rsid w:val="00D038CF"/>
    <w:rsid w:val="00D610CF"/>
    <w:rsid w:val="00E03ABA"/>
    <w:rsid w:val="00E12DD9"/>
    <w:rsid w:val="00E227ED"/>
    <w:rsid w:val="00E54070"/>
    <w:rsid w:val="00EA6DAA"/>
    <w:rsid w:val="00F2793B"/>
    <w:rsid w:val="00F45CF3"/>
    <w:rsid w:val="00F57823"/>
    <w:rsid w:val="00F61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11D8E"/>
  <w15:chartTrackingRefBased/>
  <w15:docId w15:val="{97FAB52F-9639-4ADE-AC96-77E616AF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214F80"/>
    <w:pPr>
      <w:keepNext/>
      <w:keepLines/>
      <w:spacing w:before="480" w:after="0" w:line="276" w:lineRule="auto"/>
      <w:outlineLvl w:val="0"/>
    </w:pPr>
    <w:rPr>
      <w:rFonts w:asciiTheme="majorHAnsi" w:eastAsiaTheme="majorEastAsia" w:hAnsiTheme="majorHAnsi" w:cstheme="majorBidi"/>
      <w:b/>
      <w:bCs/>
      <w:color w:val="008996"/>
      <w:sz w:val="36"/>
      <w:szCs w:val="28"/>
      <w:lang w:val="en-US"/>
    </w:rPr>
  </w:style>
  <w:style w:type="paragraph" w:styleId="Heading2">
    <w:name w:val="heading 2"/>
    <w:basedOn w:val="Normal"/>
    <w:next w:val="Normal"/>
    <w:link w:val="Heading2Char"/>
    <w:uiPriority w:val="9"/>
    <w:unhideWhenUsed/>
    <w:qFormat/>
    <w:rsid w:val="00214F80"/>
    <w:pPr>
      <w:keepNext/>
      <w:keepLines/>
      <w:spacing w:before="200" w:after="0" w:line="276" w:lineRule="auto"/>
      <w:outlineLvl w:val="1"/>
    </w:pPr>
    <w:rPr>
      <w:rFonts w:asciiTheme="majorHAnsi" w:eastAsiaTheme="majorEastAsia" w:hAnsiTheme="majorHAnsi" w:cstheme="majorBidi"/>
      <w:b/>
      <w:bCs/>
      <w:color w:val="008996"/>
      <w:sz w:val="28"/>
      <w:szCs w:val="26"/>
      <w:lang w:val="en-US"/>
    </w:rPr>
  </w:style>
  <w:style w:type="paragraph" w:styleId="Heading3">
    <w:name w:val="heading 3"/>
    <w:basedOn w:val="Normal"/>
    <w:next w:val="Normal"/>
    <w:link w:val="Heading3Char"/>
    <w:uiPriority w:val="9"/>
    <w:unhideWhenUsed/>
    <w:qFormat/>
    <w:rsid w:val="00214F80"/>
    <w:pPr>
      <w:keepNext/>
      <w:keepLines/>
      <w:spacing w:before="200" w:after="0" w:line="276" w:lineRule="auto"/>
      <w:outlineLvl w:val="2"/>
    </w:pPr>
    <w:rPr>
      <w:rFonts w:asciiTheme="majorHAnsi" w:eastAsiaTheme="majorEastAsia" w:hAnsiTheme="majorHAnsi" w:cstheme="majorBidi"/>
      <w:b/>
      <w:bCs/>
      <w:color w:val="008996"/>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5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character" w:customStyle="1" w:styleId="Heading1Char">
    <w:name w:val="Heading 1 Char"/>
    <w:basedOn w:val="DefaultParagraphFont"/>
    <w:link w:val="Heading1"/>
    <w:uiPriority w:val="9"/>
    <w:rsid w:val="00214F80"/>
    <w:rPr>
      <w:rFonts w:asciiTheme="majorHAnsi" w:eastAsiaTheme="majorEastAsia" w:hAnsiTheme="majorHAnsi" w:cstheme="majorBidi"/>
      <w:b/>
      <w:bCs/>
      <w:color w:val="008996"/>
      <w:kern w:val="0"/>
      <w:sz w:val="36"/>
      <w:szCs w:val="28"/>
      <w:lang w:val="en-US"/>
      <w14:ligatures w14:val="none"/>
    </w:rPr>
  </w:style>
  <w:style w:type="character" w:customStyle="1" w:styleId="Heading2Char">
    <w:name w:val="Heading 2 Char"/>
    <w:basedOn w:val="DefaultParagraphFont"/>
    <w:link w:val="Heading2"/>
    <w:uiPriority w:val="9"/>
    <w:rsid w:val="00214F80"/>
    <w:rPr>
      <w:rFonts w:asciiTheme="majorHAnsi" w:eastAsiaTheme="majorEastAsia" w:hAnsiTheme="majorHAnsi" w:cstheme="majorBidi"/>
      <w:b/>
      <w:bCs/>
      <w:color w:val="008996"/>
      <w:kern w:val="0"/>
      <w:sz w:val="28"/>
      <w:szCs w:val="26"/>
      <w:lang w:val="en-US"/>
      <w14:ligatures w14:val="none"/>
    </w:rPr>
  </w:style>
  <w:style w:type="character" w:customStyle="1" w:styleId="Heading3Char">
    <w:name w:val="Heading 3 Char"/>
    <w:basedOn w:val="DefaultParagraphFont"/>
    <w:link w:val="Heading3"/>
    <w:uiPriority w:val="9"/>
    <w:rsid w:val="00214F80"/>
    <w:rPr>
      <w:rFonts w:asciiTheme="majorHAnsi" w:eastAsiaTheme="majorEastAsia" w:hAnsiTheme="majorHAnsi" w:cstheme="majorBidi"/>
      <w:b/>
      <w:bCs/>
      <w:color w:val="008996"/>
      <w:kern w:val="0"/>
      <w:szCs w:val="22"/>
      <w:lang w:val="en-US"/>
      <w14:ligatures w14:val="none"/>
    </w:rPr>
  </w:style>
  <w:style w:type="paragraph" w:styleId="ListBullet">
    <w:name w:val="List Bullet"/>
    <w:basedOn w:val="Normal"/>
    <w:uiPriority w:val="99"/>
    <w:unhideWhenUsed/>
    <w:rsid w:val="00214F80"/>
    <w:pPr>
      <w:numPr>
        <w:numId w:val="1"/>
      </w:numPr>
      <w:tabs>
        <w:tab w:val="clear" w:pos="360"/>
      </w:tabs>
      <w:spacing w:after="200" w:line="276" w:lineRule="auto"/>
      <w:ind w:left="0" w:firstLine="0"/>
      <w:contextualSpacing/>
    </w:pPr>
    <w:rPr>
      <w:rFonts w:ascii="Calibri" w:eastAsia="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74525\Downloads\Briefing%20Note%20Template%202024%20(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5B3F18D89A3148A1F2147C3BEBCE63" ma:contentTypeVersion="1" ma:contentTypeDescription="Create a new document." ma:contentTypeScope="" ma:versionID="bd4748eb099d376c2e19cb4c2f45c964">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E6451-7147-4C0D-97B6-9AC9E4F45FA4}">
  <ds:schemaRefs>
    <ds:schemaRef ds:uri="http://schemas.microsoft.com/sharepoint/v3/contenttype/forms"/>
  </ds:schemaRefs>
</ds:datastoreItem>
</file>

<file path=customXml/itemProps2.xml><?xml version="1.0" encoding="utf-8"?>
<ds:datastoreItem xmlns:ds="http://schemas.openxmlformats.org/officeDocument/2006/customXml" ds:itemID="{4060B687-D0A2-450C-B85A-8FCD61BDED6E}">
  <ds:schemaRefs>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25C5CDF-5167-4E63-840B-CDB1C14B9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Briefing Note Template 2024 (8)</Template>
  <TotalTime>2</TotalTime>
  <Pages>5</Pages>
  <Words>1275</Words>
  <Characters>8395</Characters>
  <Application>Microsoft Office Word</Application>
  <DocSecurity>0</DocSecurity>
  <Lines>146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Carly</dc:creator>
  <cp:keywords/>
  <dc:description/>
  <cp:lastModifiedBy>Carly Murphy</cp:lastModifiedBy>
  <cp:revision>4</cp:revision>
  <cp:lastPrinted>2024-01-09T10:43:00Z</cp:lastPrinted>
  <dcterms:created xsi:type="dcterms:W3CDTF">2026-05-11T09:47:00Z</dcterms:created>
  <dcterms:modified xsi:type="dcterms:W3CDTF">2026-05-11T09:52:00Z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0x0101009A5B3F18D89A3148A1F2147C3BEBCE63</vt:lpwstr>
  </property>
</Properties>
</file>