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C593" w14:textId="77777777" w:rsidR="00E227ED" w:rsidRDefault="00E227ED" w:rsidP="00F45CF3">
      <w:pPr>
        <w:spacing w:after="0" w:line="240" w:lineRule="auto"/>
        <w:contextualSpacing/>
        <w:rPr>
          <w:sz w:val="24"/>
          <w:szCs w:val="24"/>
        </w:rPr>
      </w:pPr>
    </w:p>
    <w:p w14:paraId="5D6B5D7C" w14:textId="77777777" w:rsidR="00E12DD9" w:rsidRDefault="00E12DD9" w:rsidP="00E12DD9">
      <w:pPr>
        <w:spacing w:after="0" w:line="240" w:lineRule="auto"/>
        <w:ind w:left="283"/>
        <w:contextualSpacing/>
        <w:rPr>
          <w:sz w:val="24"/>
          <w:szCs w:val="24"/>
        </w:rPr>
      </w:pPr>
    </w:p>
    <w:p w14:paraId="7AEE4A04" w14:textId="77777777" w:rsidR="007E4EA3" w:rsidRDefault="007E4EA3" w:rsidP="00E12DD9">
      <w:pPr>
        <w:spacing w:after="0" w:line="240" w:lineRule="auto"/>
        <w:ind w:left="283"/>
        <w:contextualSpacing/>
        <w:rPr>
          <w:sz w:val="24"/>
          <w:szCs w:val="24"/>
        </w:rPr>
      </w:pPr>
    </w:p>
    <w:p w14:paraId="229A71D8" w14:textId="77777777" w:rsidR="004B30AF" w:rsidRPr="00D038CF" w:rsidRDefault="004B30AF" w:rsidP="00E12DD9">
      <w:pPr>
        <w:spacing w:after="0" w:line="240" w:lineRule="auto"/>
        <w:ind w:left="283"/>
        <w:contextualSpacing/>
        <w:rPr>
          <w:sz w:val="32"/>
          <w:szCs w:val="32"/>
        </w:rPr>
      </w:pPr>
    </w:p>
    <w:p w14:paraId="2ABA7C1B" w14:textId="4FF51CF6" w:rsidR="0017540B" w:rsidRPr="00D038CF" w:rsidRDefault="00FD7B23" w:rsidP="00FD7B23">
      <w:pPr>
        <w:spacing w:after="0" w:line="240" w:lineRule="auto"/>
        <w:ind w:left="567"/>
        <w:jc w:val="center"/>
        <w:rPr>
          <w:rFonts w:ascii="Amasis MT Pro Black" w:hAnsi="Amasis MT Pro Black"/>
          <w:b/>
          <w:bCs/>
          <w:color w:val="D46F63"/>
          <w:sz w:val="48"/>
          <w:szCs w:val="48"/>
        </w:rPr>
      </w:pPr>
      <w:r>
        <w:rPr>
          <w:rFonts w:ascii="Amasis MT Pro Black" w:hAnsi="Amasis MT Pro Black"/>
          <w:b/>
          <w:bCs/>
          <w:color w:val="008796"/>
          <w:sz w:val="48"/>
          <w:szCs w:val="48"/>
        </w:rPr>
        <w:t>PRRE Model Overview</w:t>
      </w:r>
    </w:p>
    <w:p w14:paraId="4F37DB52" w14:textId="08DFEDD0" w:rsidR="00AE5F48" w:rsidRPr="00FD7B23" w:rsidRDefault="00FD7B23" w:rsidP="00FD7B23">
      <w:pPr>
        <w:spacing w:after="0" w:line="240" w:lineRule="auto"/>
        <w:ind w:left="567"/>
        <w:jc w:val="center"/>
        <w:rPr>
          <w:rFonts w:ascii="Amasis MT Pro Black" w:hAnsi="Amasis MT Pro Black"/>
          <w:b/>
          <w:bCs/>
          <w:color w:val="D46F63"/>
          <w:sz w:val="24"/>
          <w:szCs w:val="24"/>
        </w:rPr>
      </w:pPr>
      <w:r>
        <w:rPr>
          <w:rStyle w:val="normaltextrun"/>
          <w:rFonts w:ascii="Cambria" w:hAnsi="Cambria" w:cs="Segoe UI"/>
          <w:sz w:val="24"/>
          <w:szCs w:val="24"/>
          <w:lang w:val="en-US"/>
        </w:rPr>
        <w:t>C</w:t>
      </w:r>
      <w:r w:rsidRPr="00FD7B23">
        <w:rPr>
          <w:rStyle w:val="normaltextrun"/>
          <w:rFonts w:ascii="Cambria" w:hAnsi="Cambria" w:cs="Segoe UI"/>
          <w:sz w:val="24"/>
          <w:szCs w:val="24"/>
          <w:lang w:val="en-US"/>
        </w:rPr>
        <w:t>oncise description of the PRRE model for decision-makers</w:t>
      </w:r>
    </w:p>
    <w:p w14:paraId="2CE5A584" w14:textId="77777777" w:rsidR="00E03ABA" w:rsidRPr="00734EC0" w:rsidRDefault="00E03ABA" w:rsidP="006D5567">
      <w:pPr>
        <w:spacing w:after="360" w:line="240" w:lineRule="auto"/>
        <w:ind w:left="567"/>
        <w:contextualSpacing/>
        <w:rPr>
          <w:rFonts w:ascii="Amasis MT Std Black" w:hAnsi="Amasis MT Std Black"/>
          <w:sz w:val="24"/>
          <w:szCs w:val="24"/>
        </w:rPr>
      </w:pPr>
    </w:p>
    <w:p w14:paraId="146AF1BC" w14:textId="6EBCDD8B" w:rsidR="00FD7B23" w:rsidRDefault="00FD7B23" w:rsidP="00FD7B23">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i/>
          <w:iCs/>
          <w:lang w:val="en-US"/>
        </w:rPr>
        <w:t> </w:t>
      </w:r>
    </w:p>
    <w:p w14:paraId="65C87E27" w14:textId="47BAB312" w:rsidR="00FD7B23" w:rsidRPr="00FD7B23" w:rsidRDefault="00FD7B23" w:rsidP="00FD7B23">
      <w:pPr>
        <w:pStyle w:val="paragraph"/>
        <w:spacing w:before="0" w:beforeAutospacing="0" w:after="0" w:afterAutospacing="0"/>
        <w:textAlignment w:val="baseline"/>
        <w:rPr>
          <w:rFonts w:asciiTheme="minorHAnsi" w:hAnsiTheme="minorHAnsi" w:cstheme="minorHAnsi"/>
          <w:sz w:val="18"/>
          <w:szCs w:val="18"/>
        </w:rPr>
      </w:pPr>
      <w:r w:rsidRPr="00FD7B23">
        <w:rPr>
          <w:rStyle w:val="normaltextrun"/>
          <w:rFonts w:asciiTheme="minorHAnsi" w:hAnsiTheme="minorHAnsi" w:cstheme="minorHAnsi"/>
          <w:lang w:val="en-US"/>
        </w:rPr>
        <w:t>Milton Keynes Youth Justice Service (MKYJS)</w:t>
      </w:r>
    </w:p>
    <w:p w14:paraId="579C9B99" w14:textId="60749B78" w:rsidR="00FD7B23" w:rsidRPr="00FD7B23" w:rsidRDefault="00FD7B23" w:rsidP="00FD7B23">
      <w:pPr>
        <w:pStyle w:val="paragraph"/>
        <w:spacing w:before="0" w:beforeAutospacing="0" w:after="0" w:afterAutospacing="0"/>
        <w:textAlignment w:val="baseline"/>
        <w:rPr>
          <w:rFonts w:asciiTheme="minorHAnsi" w:hAnsiTheme="minorHAnsi" w:cstheme="minorHAnsi"/>
          <w:sz w:val="18"/>
          <w:szCs w:val="18"/>
        </w:rPr>
      </w:pPr>
      <w:r w:rsidRPr="00FD7B23">
        <w:rPr>
          <w:rStyle w:val="normaltextrun"/>
          <w:rFonts w:asciiTheme="minorHAnsi" w:hAnsiTheme="minorHAnsi" w:cstheme="minorHAnsi"/>
          <w:lang w:val="en-US"/>
        </w:rPr>
        <w:t>Milton Keynes City Council</w:t>
      </w:r>
    </w:p>
    <w:p w14:paraId="2E0A18F8" w14:textId="747D33F1" w:rsidR="00FD7B23" w:rsidRPr="00FD7B23" w:rsidRDefault="00FD7B23" w:rsidP="00FD7B23">
      <w:pPr>
        <w:pStyle w:val="paragraph"/>
        <w:spacing w:before="0" w:beforeAutospacing="0" w:after="0" w:afterAutospacing="0"/>
        <w:textAlignment w:val="baseline"/>
        <w:rPr>
          <w:rFonts w:asciiTheme="minorHAnsi" w:hAnsiTheme="minorHAnsi" w:cstheme="minorHAnsi"/>
          <w:sz w:val="18"/>
          <w:szCs w:val="18"/>
        </w:rPr>
      </w:pPr>
      <w:r w:rsidRPr="00FD7B23">
        <w:rPr>
          <w:rStyle w:val="normaltextrun"/>
          <w:rFonts w:asciiTheme="minorHAnsi" w:hAnsiTheme="minorHAnsi" w:cstheme="minorHAnsi"/>
          <w:lang w:val="en-US"/>
        </w:rPr>
        <w:t xml:space="preserve">10 March 2026 | Version 1.0 </w:t>
      </w:r>
    </w:p>
    <w:p w14:paraId="546CBA82" w14:textId="2B8CAB26" w:rsidR="00FD7B23" w:rsidRPr="00FD7B23" w:rsidRDefault="00FD7B23" w:rsidP="00FD7B23">
      <w:pPr>
        <w:pStyle w:val="paragraph"/>
        <w:spacing w:before="0" w:beforeAutospacing="0" w:after="0" w:afterAutospacing="0"/>
        <w:textAlignment w:val="baseline"/>
        <w:rPr>
          <w:rStyle w:val="eop"/>
          <w:rFonts w:asciiTheme="minorHAnsi" w:hAnsiTheme="minorHAnsi" w:cstheme="minorHAnsi"/>
          <w:i/>
          <w:iCs/>
          <w:sz w:val="22"/>
          <w:szCs w:val="22"/>
          <w:bdr w:val="none" w:sz="0" w:space="0" w:color="auto" w:frame="1"/>
          <w:shd w:val="clear" w:color="auto" w:fill="C6C6C6"/>
        </w:rPr>
      </w:pP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i/>
          <w:iCs/>
          <w:lang w:val="en-US"/>
        </w:rPr>
        <w:t>This document is shared as an example of good practice to support national learning and local adaptation. It should be used alongside local governance arrangements, information-sharing agreements, and established clinical and education pathways.</w:t>
      </w:r>
    </w:p>
    <w:p w14:paraId="4E587A1A" w14:textId="77777777" w:rsidR="00FD7B23" w:rsidRPr="00FD7B23" w:rsidRDefault="00FD7B23" w:rsidP="00FD7B23">
      <w:pPr>
        <w:pStyle w:val="paragraph"/>
        <w:spacing w:before="0" w:beforeAutospacing="0" w:after="0" w:afterAutospacing="0"/>
        <w:textAlignment w:val="baseline"/>
        <w:rPr>
          <w:rFonts w:asciiTheme="minorHAnsi" w:hAnsiTheme="minorHAnsi" w:cstheme="minorHAnsi"/>
          <w:sz w:val="18"/>
          <w:szCs w:val="18"/>
        </w:rPr>
      </w:pPr>
    </w:p>
    <w:p w14:paraId="6A3BF3F3" w14:textId="33510F0A" w:rsidR="00FD7B23" w:rsidRPr="00FD7B23" w:rsidRDefault="00FD7B23" w:rsidP="00FD7B23">
      <w:pPr>
        <w:pStyle w:val="paragraph"/>
        <w:spacing w:before="0" w:beforeAutospacing="0" w:after="0" w:afterAutospacing="0"/>
        <w:textAlignment w:val="baseline"/>
        <w:rPr>
          <w:rFonts w:ascii="Segoe UI" w:hAnsi="Segoe UI" w:cs="Segoe UI"/>
          <w:b/>
          <w:bCs/>
          <w:color w:val="66BDCC"/>
          <w:sz w:val="32"/>
          <w:szCs w:val="32"/>
        </w:rPr>
      </w:pPr>
      <w:r w:rsidRPr="00FD7B23">
        <w:rPr>
          <w:rStyle w:val="normaltextrun"/>
          <w:rFonts w:ascii="Calibri" w:hAnsi="Calibri" w:cs="Calibri"/>
          <w:b/>
          <w:bCs/>
          <w:color w:val="66BDCC"/>
          <w:sz w:val="32"/>
          <w:szCs w:val="32"/>
          <w:lang w:val="en-US"/>
        </w:rPr>
        <w:t>Executive Overview</w:t>
      </w:r>
    </w:p>
    <w:p w14:paraId="190AB29B" w14:textId="0D3DDB2D" w:rsidR="00FD7B23" w:rsidRPr="00AE0037" w:rsidRDefault="00FD7B23" w:rsidP="00FD7B23">
      <w:pPr>
        <w:pStyle w:val="paragraph"/>
        <w:spacing w:before="0" w:beforeAutospacing="0" w:after="0" w:afterAutospacing="0"/>
        <w:textAlignment w:val="baseline"/>
        <w:rPr>
          <w:rStyle w:val="eop"/>
          <w:rFonts w:asciiTheme="minorHAnsi" w:hAnsiTheme="minorHAnsi" w:cstheme="minorHAnsi"/>
          <w:sz w:val="22"/>
          <w:szCs w:val="22"/>
          <w:bdr w:val="none" w:sz="0" w:space="0" w:color="auto" w:frame="1"/>
          <w:shd w:val="clear" w:color="auto" w:fill="C6C6C6"/>
        </w:rPr>
      </w:pPr>
      <w:r w:rsidRPr="00FD7B23">
        <w:rPr>
          <w:rStyle w:val="normaltextrun"/>
          <w:rFonts w:asciiTheme="minorHAnsi" w:hAnsiTheme="minorHAnsi" w:cstheme="minorHAnsi"/>
          <w:lang w:val="en-US"/>
        </w:rPr>
        <w:t>The Promoting Reintegration and Reducing Exclusions (PRRE) model is an education-facing Speech, Language and Communication Needs (SLCN) assessment and consultation offer. It is delivered through Youth Justice prevention and diversion partnerships, with a strong focus on early identification and targeted support to improve outcomes for children at risk of exclusion. </w:t>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lang w:val="en-US"/>
        </w:rPr>
        <w:t>The model brings together key system inputs, including specialist Speech and Language Therapy (SLT) capacity, Youth Justice Service (YJS) coordination, and active engagement from education providers. Delivery is underpinned by clear consent processes, robust information-sharing arrangements, and access to training resources to support sustainability and workforce development. </w:t>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lang w:val="en-US"/>
        </w:rPr>
        <w:t>Operational delivery includes a structured pathway of triage, assessment, feedback and reporting, alongside staff training and follow-up consultation. These activities enable practitioners to identify underlying communication needs, provide tailored recommendations, and build capacity within education settings to respond effectively. </w:t>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lang w:val="en-US"/>
        </w:rPr>
        <w:t>The immediate outputs of the model include the completion of SLCN assessments, the provision of targeted recommendations, increased staff knowledge and confidence through training, and the implementation of appropriate adaptations within educational settings. </w:t>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Pr>
          <w:rStyle w:val="scxw118840612"/>
          <w:rFonts w:ascii="Cambria" w:hAnsi="Cambria" w:cs="Segoe UI"/>
          <w:sz w:val="22"/>
          <w:szCs w:val="22"/>
        </w:rPr>
        <w:t> </w:t>
      </w:r>
      <w:r>
        <w:rPr>
          <w:rFonts w:ascii="Cambria" w:hAnsi="Cambria" w:cs="Segoe UI"/>
          <w:sz w:val="22"/>
          <w:szCs w:val="22"/>
        </w:rPr>
        <w:br/>
      </w:r>
      <w:r w:rsidRPr="00AE0037">
        <w:rPr>
          <w:rStyle w:val="normaltextrun"/>
          <w:rFonts w:asciiTheme="minorHAnsi" w:hAnsiTheme="minorHAnsi" w:cstheme="minorHAnsi"/>
          <w:lang w:val="en-US"/>
        </w:rPr>
        <w:t>Over time, these outputs contribute to improved outcomes for children and young people, including a reduction in suspensions and exclusions, improved engagement with education and attendance, greater stability in reintegration arrangements, and a reduction in vulnerability.</w:t>
      </w:r>
    </w:p>
    <w:p w14:paraId="48D5353D" w14:textId="77777777" w:rsidR="00FD7B23" w:rsidRDefault="00FD7B23" w:rsidP="00FD7B23">
      <w:pPr>
        <w:pStyle w:val="paragraph"/>
        <w:spacing w:before="0" w:beforeAutospacing="0" w:after="0" w:afterAutospacing="0"/>
        <w:textAlignment w:val="baseline"/>
        <w:rPr>
          <w:rFonts w:ascii="Segoe UI" w:hAnsi="Segoe UI" w:cs="Segoe UI"/>
          <w:sz w:val="18"/>
          <w:szCs w:val="18"/>
        </w:rPr>
      </w:pPr>
    </w:p>
    <w:p w14:paraId="4A72AB6A" w14:textId="366841B3" w:rsidR="00FD7B23" w:rsidRPr="00FD7B23" w:rsidRDefault="00FD7B23" w:rsidP="00FD7B23">
      <w:pPr>
        <w:pStyle w:val="paragraph"/>
        <w:spacing w:before="0" w:beforeAutospacing="0" w:after="0" w:afterAutospacing="0"/>
        <w:textAlignment w:val="baseline"/>
        <w:rPr>
          <w:rFonts w:ascii="Segoe UI" w:hAnsi="Segoe UI" w:cs="Segoe UI"/>
          <w:b/>
          <w:bCs/>
          <w:color w:val="66BDCC"/>
          <w:sz w:val="32"/>
          <w:szCs w:val="32"/>
        </w:rPr>
      </w:pPr>
      <w:r w:rsidRPr="00FD7B23">
        <w:rPr>
          <w:rStyle w:val="normaltextrun"/>
          <w:rFonts w:ascii="Calibri" w:hAnsi="Calibri" w:cs="Calibri"/>
          <w:b/>
          <w:bCs/>
          <w:color w:val="66BDCC"/>
          <w:sz w:val="32"/>
          <w:szCs w:val="32"/>
          <w:lang w:val="en-US"/>
        </w:rPr>
        <w:t>Target Cohort and Reach</w:t>
      </w:r>
    </w:p>
    <w:p w14:paraId="62019D13" w14:textId="77777777" w:rsidR="00105EA9" w:rsidRDefault="00FD7B23" w:rsidP="00FD7B23">
      <w:pPr>
        <w:pStyle w:val="paragraph"/>
        <w:spacing w:before="0" w:beforeAutospacing="0" w:after="0" w:afterAutospacing="0"/>
        <w:textAlignment w:val="baseline"/>
        <w:rPr>
          <w:rStyle w:val="normaltextrun"/>
          <w:rFonts w:asciiTheme="minorHAnsi" w:hAnsiTheme="minorHAnsi" w:cstheme="minorHAnsi"/>
          <w:lang w:val="en-US"/>
        </w:rPr>
      </w:pPr>
      <w:r w:rsidRPr="00FD7B23">
        <w:rPr>
          <w:rStyle w:val="normaltextrun"/>
          <w:rFonts w:asciiTheme="minorHAnsi" w:hAnsiTheme="minorHAnsi" w:cstheme="minorHAnsi"/>
          <w:lang w:val="en-US"/>
        </w:rPr>
        <w:t>The PRRE model is designed to support children and young people who are at risk of fixed-term or permanent exclusion, managed moves, or breakdown in reintegration placements.</w:t>
      </w:r>
    </w:p>
    <w:p w14:paraId="7EA40318" w14:textId="77777777" w:rsidR="00105EA9" w:rsidRDefault="00FD7B23" w:rsidP="00FD7B23">
      <w:pPr>
        <w:pStyle w:val="paragraph"/>
        <w:spacing w:before="0" w:beforeAutospacing="0" w:after="0" w:afterAutospacing="0"/>
        <w:textAlignment w:val="baseline"/>
        <w:rPr>
          <w:rStyle w:val="normaltextrun"/>
          <w:rFonts w:asciiTheme="minorHAnsi" w:hAnsiTheme="minorHAnsi" w:cstheme="minorHAnsi"/>
          <w:lang w:val="en-US"/>
        </w:rPr>
      </w:pP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lang w:val="en-US"/>
        </w:rPr>
        <w:t>The model can be delivered across a range of settings, depending on local need and capacity. This includes mainstream schools, alternative provision (AP), Pupil Referral Unit (PRU</w:t>
      </w:r>
      <w:proofErr w:type="gramStart"/>
      <w:r w:rsidRPr="00FD7B23">
        <w:rPr>
          <w:rStyle w:val="normaltextrun"/>
          <w:rFonts w:asciiTheme="minorHAnsi" w:hAnsiTheme="minorHAnsi" w:cstheme="minorHAnsi"/>
          <w:lang w:val="en-US"/>
        </w:rPr>
        <w:t>) ,</w:t>
      </w:r>
      <w:proofErr w:type="gramEnd"/>
      <w:r w:rsidRPr="00FD7B23">
        <w:rPr>
          <w:rStyle w:val="normaltextrun"/>
          <w:rFonts w:asciiTheme="minorHAnsi" w:hAnsiTheme="minorHAnsi" w:cstheme="minorHAnsi"/>
          <w:lang w:val="en-US"/>
        </w:rPr>
        <w:t xml:space="preserve"> as well as colleges and training providers where appropriate. Local areas retain flexibility to determine the scope of delivery in line with strategic priorities</w:t>
      </w:r>
      <w:r w:rsidR="00105EA9">
        <w:rPr>
          <w:rStyle w:val="normaltextrun"/>
          <w:rFonts w:asciiTheme="minorHAnsi" w:hAnsiTheme="minorHAnsi" w:cstheme="minorHAnsi"/>
          <w:lang w:val="en-US"/>
        </w:rPr>
        <w:t>.</w:t>
      </w:r>
    </w:p>
    <w:p w14:paraId="6BE47E0B" w14:textId="5C59DDEF" w:rsidR="00FD7B23" w:rsidRPr="00FD7B23" w:rsidRDefault="00FD7B23" w:rsidP="00FD7B23">
      <w:pPr>
        <w:pStyle w:val="paragraph"/>
        <w:spacing w:before="0" w:beforeAutospacing="0" w:after="0" w:afterAutospacing="0"/>
        <w:textAlignment w:val="baseline"/>
        <w:rPr>
          <w:rFonts w:ascii="Segoe UI" w:hAnsi="Segoe UI" w:cs="Segoe UI"/>
          <w:b/>
          <w:bCs/>
          <w:color w:val="66BDCC"/>
          <w:sz w:val="32"/>
          <w:szCs w:val="32"/>
        </w:rPr>
      </w:pPr>
      <w:r w:rsidRPr="00FD7B23">
        <w:rPr>
          <w:rStyle w:val="normaltextrun"/>
          <w:rFonts w:ascii="Calibri" w:hAnsi="Calibri" w:cs="Calibri"/>
          <w:b/>
          <w:bCs/>
          <w:color w:val="66BDCC"/>
          <w:sz w:val="32"/>
          <w:szCs w:val="32"/>
          <w:lang w:val="en-US"/>
        </w:rPr>
        <w:lastRenderedPageBreak/>
        <w:t>Measures of Success</w:t>
      </w:r>
    </w:p>
    <w:p w14:paraId="6A18B67E" w14:textId="77E7AC61" w:rsidR="00734EC0" w:rsidRPr="00FD7B23" w:rsidRDefault="00FD7B23" w:rsidP="00FD7B23">
      <w:pPr>
        <w:pStyle w:val="paragraph"/>
        <w:spacing w:before="0" w:beforeAutospacing="0" w:after="0" w:afterAutospacing="0"/>
        <w:textAlignment w:val="baseline"/>
        <w:rPr>
          <w:rFonts w:asciiTheme="minorHAnsi" w:hAnsiTheme="minorHAnsi" w:cstheme="minorHAnsi"/>
          <w:sz w:val="18"/>
          <w:szCs w:val="18"/>
        </w:rPr>
      </w:pPr>
      <w:r w:rsidRPr="00FD7B23">
        <w:rPr>
          <w:rStyle w:val="normaltextrun"/>
          <w:rFonts w:asciiTheme="minorHAnsi" w:hAnsiTheme="minorHAnsi" w:cstheme="minorHAnsi"/>
          <w:lang w:val="en-US"/>
        </w:rPr>
        <w:t>Success within the PRRE model is measured across education stability, engagement, identification of need, and wider system outcomes. </w:t>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lang w:val="en-US"/>
        </w:rPr>
        <w:t>Education stability is assessed through reductions in suspensions and exclusions, decreased reliance on managed moves, and fewer part-time timetables. </w:t>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lang w:val="en-US"/>
        </w:rPr>
        <w:t>Engagement is measured through improvements in attendance, reductions in </w:t>
      </w:r>
      <w:r w:rsidR="000E40A8" w:rsidRPr="00FD7B23">
        <w:rPr>
          <w:rStyle w:val="normaltextrun"/>
          <w:rFonts w:asciiTheme="minorHAnsi" w:hAnsiTheme="minorHAnsi" w:cstheme="minorHAnsi"/>
          <w:lang w:val="en-US"/>
        </w:rPr>
        <w:t>behavio</w:t>
      </w:r>
      <w:r w:rsidR="000E40A8">
        <w:rPr>
          <w:rStyle w:val="normaltextrun"/>
          <w:rFonts w:asciiTheme="minorHAnsi" w:hAnsiTheme="minorHAnsi" w:cstheme="minorHAnsi"/>
          <w:lang w:val="en-US"/>
        </w:rPr>
        <w:t>u</w:t>
      </w:r>
      <w:r w:rsidR="000E40A8" w:rsidRPr="00FD7B23">
        <w:rPr>
          <w:rStyle w:val="normaltextrun"/>
          <w:rFonts w:asciiTheme="minorHAnsi" w:hAnsiTheme="minorHAnsi" w:cstheme="minorHAnsi"/>
          <w:lang w:val="en-US"/>
        </w:rPr>
        <w:t>ral</w:t>
      </w:r>
      <w:r w:rsidRPr="00FD7B23">
        <w:rPr>
          <w:rStyle w:val="normaltextrun"/>
          <w:rFonts w:asciiTheme="minorHAnsi" w:hAnsiTheme="minorHAnsi" w:cstheme="minorHAnsi"/>
          <w:lang w:val="en-US"/>
        </w:rPr>
        <w:t> incidents, and positive changes in pastoral indicators. </w:t>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lang w:val="en-US"/>
        </w:rPr>
        <w:t>From an SLCN perspective, success is evidenced through increased identification of communication needs and the implementation of appropriate support plans. </w:t>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scxw118840612"/>
          <w:rFonts w:asciiTheme="minorHAnsi" w:hAnsiTheme="minorHAnsi" w:cstheme="minorHAnsi"/>
          <w:sz w:val="22"/>
          <w:szCs w:val="22"/>
        </w:rPr>
        <w:t> </w:t>
      </w:r>
      <w:r w:rsidRPr="00FD7B23">
        <w:rPr>
          <w:rFonts w:asciiTheme="minorHAnsi" w:hAnsiTheme="minorHAnsi" w:cstheme="minorHAnsi"/>
          <w:sz w:val="22"/>
          <w:szCs w:val="22"/>
        </w:rPr>
        <w:br/>
      </w:r>
      <w:r w:rsidRPr="00FD7B23">
        <w:rPr>
          <w:rStyle w:val="normaltextrun"/>
          <w:rFonts w:asciiTheme="minorHAnsi" w:hAnsiTheme="minorHAnsi" w:cstheme="minorHAnsi"/>
          <w:lang w:val="en-US"/>
        </w:rPr>
        <w:t>At a system level, impact is reflected in improved diversion and prevention outcomes, alongside strengthened safeguarding responses, with measures defined locally to align with partnership priorities</w:t>
      </w:r>
      <w:r w:rsidR="00105EA9">
        <w:rPr>
          <w:rStyle w:val="normaltextrun"/>
          <w:rFonts w:asciiTheme="minorHAnsi" w:hAnsiTheme="minorHAnsi" w:cstheme="minorHAnsi"/>
          <w:lang w:val="en-US"/>
        </w:rPr>
        <w:t xml:space="preserve"> which include school’s understanding of communication needs and confidence in supporting young people with identified needs, parents understanding of need and ability to support alongside confidence in school response and increased self esteem for the child. </w:t>
      </w:r>
    </w:p>
    <w:sectPr w:rsidR="00734EC0" w:rsidRPr="00FD7B23" w:rsidSect="007A7BE0">
      <w:headerReference w:type="default" r:id="rId10"/>
      <w:footerReference w:type="default" r:id="rId11"/>
      <w:headerReference w:type="first" r:id="rId12"/>
      <w:pgSz w:w="11906" w:h="16838"/>
      <w:pgMar w:top="720" w:right="720" w:bottom="720" w:left="720"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6985" w14:textId="77777777" w:rsidR="00852771" w:rsidRDefault="00852771" w:rsidP="00F45CF3">
      <w:pPr>
        <w:spacing w:after="0" w:line="240" w:lineRule="auto"/>
      </w:pPr>
      <w:r>
        <w:separator/>
      </w:r>
    </w:p>
  </w:endnote>
  <w:endnote w:type="continuationSeparator" w:id="0">
    <w:p w14:paraId="30C4A3F6" w14:textId="77777777" w:rsidR="00852771" w:rsidRDefault="00852771" w:rsidP="00F45CF3">
      <w:pPr>
        <w:spacing w:after="0" w:line="240" w:lineRule="auto"/>
      </w:pPr>
      <w:r>
        <w:continuationSeparator/>
      </w:r>
    </w:p>
  </w:endnote>
  <w:endnote w:type="continuationNotice" w:id="1">
    <w:p w14:paraId="6EB073F4" w14:textId="77777777" w:rsidR="00852771" w:rsidRDefault="00852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F98A" w14:textId="77777777"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7574" w14:textId="77777777" w:rsidR="00852771" w:rsidRDefault="00852771" w:rsidP="00F45CF3">
      <w:pPr>
        <w:spacing w:after="0" w:line="240" w:lineRule="auto"/>
      </w:pPr>
      <w:r>
        <w:separator/>
      </w:r>
    </w:p>
  </w:footnote>
  <w:footnote w:type="continuationSeparator" w:id="0">
    <w:p w14:paraId="6495C007" w14:textId="77777777" w:rsidR="00852771" w:rsidRDefault="00852771" w:rsidP="00F45CF3">
      <w:pPr>
        <w:spacing w:after="0" w:line="240" w:lineRule="auto"/>
      </w:pPr>
      <w:r>
        <w:continuationSeparator/>
      </w:r>
    </w:p>
  </w:footnote>
  <w:footnote w:type="continuationNotice" w:id="1">
    <w:p w14:paraId="49493C22" w14:textId="77777777" w:rsidR="00852771" w:rsidRDefault="00852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418F" w14:textId="77777777" w:rsidR="00F45CF3" w:rsidRDefault="00F2793B"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47E5FC53">
              <wp:simplePos x="0" y="0"/>
              <wp:positionH relativeFrom="column">
                <wp:posOffset>-5658245</wp:posOffset>
              </wp:positionH>
              <wp:positionV relativeFrom="paragraph">
                <wp:posOffset>4534535</wp:posOffset>
              </wp:positionV>
              <wp:extent cx="10754678" cy="359410"/>
              <wp:effectExtent l="0" t="3175" r="5715" b="5715"/>
              <wp:wrapNone/>
              <wp:docPr id="598649480" name="Rectangle 598649480"/>
              <wp:cNvGraphicFramePr/>
              <a:graphic xmlns:a="http://schemas.openxmlformats.org/drawingml/2006/main">
                <a:graphicData uri="http://schemas.microsoft.com/office/word/2010/wordprocessingShape">
                  <wps:wsp>
                    <wps:cNvSpPr/>
                    <wps:spPr>
                      <a:xfrm rot="5400000">
                        <a:off x="0" y="0"/>
                        <a:ext cx="10754678"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2F42A" id="Rectangle 598649480" o:spid="_x0000_s1026" style="position:absolute;margin-left:-445.55pt;margin-top:357.05pt;width:846.85pt;height:28.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" fillcolor="#008796"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6CD6" w14:textId="77777777" w:rsidR="007A7BE0" w:rsidRDefault="00391F01">
    <w:pPr>
      <w:pStyle w:val="Header"/>
    </w:pPr>
    <w:r>
      <w:rPr>
        <w:noProof/>
        <w:lang w:eastAsia="en-GB"/>
      </w:rPr>
      <mc:AlternateContent>
        <mc:Choice Requires="wps">
          <w:drawing>
            <wp:anchor distT="0" distB="0" distL="114300" distR="114300" simplePos="0" relativeHeight="251661313" behindDoc="0" locked="0" layoutInCell="1" allowOverlap="1" wp14:anchorId="42770917" wp14:editId="545E2DE0">
              <wp:simplePos x="0" y="0"/>
              <wp:positionH relativeFrom="column">
                <wp:posOffset>-5645785</wp:posOffset>
              </wp:positionH>
              <wp:positionV relativeFrom="paragraph">
                <wp:posOffset>4589145</wp:posOffset>
              </wp:positionV>
              <wp:extent cx="10754360" cy="359410"/>
              <wp:effectExtent l="0" t="3175" r="5715" b="5715"/>
              <wp:wrapNone/>
              <wp:docPr id="1510539166" name="Rectangle 1510539166"/>
              <wp:cNvGraphicFramePr/>
              <a:graphic xmlns:a="http://schemas.openxmlformats.org/drawingml/2006/main">
                <a:graphicData uri="http://schemas.microsoft.com/office/word/2010/wordprocessingShape">
                  <wps:wsp>
                    <wps:cNvSpPr/>
                    <wps:spPr>
                      <a:xfrm rot="5400000">
                        <a:off x="0" y="0"/>
                        <a:ext cx="10754360"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B4E2F" id="Rectangle 1510539166" o:spid="_x0000_s1026" style="position:absolute;margin-left:-444.55pt;margin-top:361.35pt;width:846.8pt;height:28.3pt;rotation:9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" fillcolor="#008796" stroked="f" strokeweight="1pt"/>
          </w:pict>
        </mc:Fallback>
      </mc:AlternateContent>
    </w:r>
    <w:r w:rsidR="007A7BE0">
      <w:rPr>
        <w:noProof/>
      </w:rPr>
      <w:drawing>
        <wp:anchor distT="0" distB="0" distL="114300" distR="114300" simplePos="0" relativeHeight="251660289" behindDoc="0" locked="0" layoutInCell="1" allowOverlap="1" wp14:anchorId="72BAD4D2" wp14:editId="39A39A2B">
          <wp:simplePos x="0" y="0"/>
          <wp:positionH relativeFrom="column">
            <wp:posOffset>4225925</wp:posOffset>
          </wp:positionH>
          <wp:positionV relativeFrom="paragraph">
            <wp:posOffset>-149225</wp:posOffset>
          </wp:positionV>
          <wp:extent cx="2535555" cy="632460"/>
          <wp:effectExtent l="0" t="0" r="4445" b="2540"/>
          <wp:wrapNone/>
          <wp:docPr id="1110825764" name="Picture 11108257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23"/>
    <w:rsid w:val="00045D9C"/>
    <w:rsid w:val="00064DC1"/>
    <w:rsid w:val="000C6E1C"/>
    <w:rsid w:val="000E3B9C"/>
    <w:rsid w:val="000E40A8"/>
    <w:rsid w:val="00105EA9"/>
    <w:rsid w:val="0017540B"/>
    <w:rsid w:val="001E2824"/>
    <w:rsid w:val="00211B24"/>
    <w:rsid w:val="00273564"/>
    <w:rsid w:val="00391F01"/>
    <w:rsid w:val="00420C3A"/>
    <w:rsid w:val="004A364B"/>
    <w:rsid w:val="004B30AF"/>
    <w:rsid w:val="00593998"/>
    <w:rsid w:val="005C3BD0"/>
    <w:rsid w:val="006043E2"/>
    <w:rsid w:val="00637D75"/>
    <w:rsid w:val="0064246E"/>
    <w:rsid w:val="00643E56"/>
    <w:rsid w:val="00644957"/>
    <w:rsid w:val="006564BE"/>
    <w:rsid w:val="006C084B"/>
    <w:rsid w:val="006C57D6"/>
    <w:rsid w:val="006D5567"/>
    <w:rsid w:val="006D7CC1"/>
    <w:rsid w:val="006F1198"/>
    <w:rsid w:val="006F276C"/>
    <w:rsid w:val="00734EC0"/>
    <w:rsid w:val="007A7BE0"/>
    <w:rsid w:val="007E4EA3"/>
    <w:rsid w:val="00806C53"/>
    <w:rsid w:val="00830F68"/>
    <w:rsid w:val="008326A4"/>
    <w:rsid w:val="008416E5"/>
    <w:rsid w:val="00852771"/>
    <w:rsid w:val="00882D65"/>
    <w:rsid w:val="008E36FF"/>
    <w:rsid w:val="008E461A"/>
    <w:rsid w:val="00981D37"/>
    <w:rsid w:val="00992B8E"/>
    <w:rsid w:val="00A45DA9"/>
    <w:rsid w:val="00AD1F73"/>
    <w:rsid w:val="00AE0037"/>
    <w:rsid w:val="00AE5F48"/>
    <w:rsid w:val="00AF1785"/>
    <w:rsid w:val="00B03B56"/>
    <w:rsid w:val="00B350BA"/>
    <w:rsid w:val="00B466BE"/>
    <w:rsid w:val="00B73D5B"/>
    <w:rsid w:val="00BE5187"/>
    <w:rsid w:val="00C97CF8"/>
    <w:rsid w:val="00D038CF"/>
    <w:rsid w:val="00D610CF"/>
    <w:rsid w:val="00E03ABA"/>
    <w:rsid w:val="00E12DD9"/>
    <w:rsid w:val="00E227ED"/>
    <w:rsid w:val="00E54070"/>
    <w:rsid w:val="00EA6DAA"/>
    <w:rsid w:val="00F2793B"/>
    <w:rsid w:val="00F45CF3"/>
    <w:rsid w:val="00F57823"/>
    <w:rsid w:val="00F61218"/>
    <w:rsid w:val="00FD7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2A096"/>
  <w15:chartTrackingRefBased/>
  <w15:docId w15:val="{97FAB52F-9639-4ADE-AC96-77E616AF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5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customStyle="1" w:styleId="paragraph">
    <w:name w:val="paragraph"/>
    <w:basedOn w:val="Normal"/>
    <w:rsid w:val="00FD7B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D7B23"/>
  </w:style>
  <w:style w:type="character" w:customStyle="1" w:styleId="eop">
    <w:name w:val="eop"/>
    <w:basedOn w:val="DefaultParagraphFont"/>
    <w:rsid w:val="00FD7B23"/>
  </w:style>
  <w:style w:type="character" w:customStyle="1" w:styleId="scxw118840612">
    <w:name w:val="scxw118840612"/>
    <w:basedOn w:val="DefaultParagraphFont"/>
    <w:rsid w:val="00FD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74525\Downloads\Briefing%20Note%20Template%202024%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D6EA8680580E9548B667880C81ECE879" ma:contentTypeVersion="10" ma:contentTypeDescription="MKC Branded Word Template Document" ma:contentTypeScope="" ma:versionID="9892b5c7f0486ca6cb3bc27d676f3ea1">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0B687-D0A2-450C-B85A-8FCD61BDED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E6451-7147-4C0D-97B6-9AC9E4F45FA4}">
  <ds:schemaRefs>
    <ds:schemaRef ds:uri="http://schemas.microsoft.com/sharepoint/v3/contenttype/forms"/>
  </ds:schemaRefs>
</ds:datastoreItem>
</file>

<file path=customXml/itemProps3.xml><?xml version="1.0" encoding="utf-8"?>
<ds:datastoreItem xmlns:ds="http://schemas.openxmlformats.org/officeDocument/2006/customXml" ds:itemID="{C00125CF-6B74-4E79-8CD5-8EB91AF073CE}">
  <ds:schemaRefs>
    <ds:schemaRef ds:uri="Microsoft.SharePoint.Taxonomy.ContentTypeSync"/>
  </ds:schemaRefs>
</ds:datastoreItem>
</file>

<file path=customXml/itemProps4.xml><?xml version="1.0" encoding="utf-8"?>
<ds:datastoreItem xmlns:ds="http://schemas.openxmlformats.org/officeDocument/2006/customXml" ds:itemID="{5FA5ABF2-3C2A-45CC-842A-36EFFCC8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Briefing Note Template 2024 (2)</Template>
  <TotalTime>21</TotalTime>
  <Pages>2</Pages>
  <Words>495</Words>
  <Characters>3217</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Carly</dc:creator>
  <cp:keywords/>
  <dc:description/>
  <cp:lastModifiedBy>Carly Murphy</cp:lastModifiedBy>
  <cp:revision>2</cp:revision>
  <cp:lastPrinted>2024-01-09T10:43:00Z</cp:lastPrinted>
  <dcterms:created xsi:type="dcterms:W3CDTF">2026-05-07T11:00:00Z</dcterms:created>
  <dcterms:modified xsi:type="dcterms:W3CDTF">2026-05-20T13:16:00Z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0x010100073DBBF460B4694388C550D7D3B1399900D6EA8680580E9548B667880C81ECE879</vt:lpwstr>
  </property>
</Properties>
</file>