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15CB" w14:textId="77777777" w:rsidR="00E227ED" w:rsidRDefault="00E227ED" w:rsidP="00F45CF3">
      <w:pPr>
        <w:spacing w:after="0" w:line="240" w:lineRule="auto"/>
        <w:contextualSpacing/>
        <w:rPr>
          <w:sz w:val="24"/>
          <w:szCs w:val="24"/>
        </w:rPr>
      </w:pPr>
    </w:p>
    <w:p w14:paraId="43D8FB31" w14:textId="77777777" w:rsidR="00E12DD9" w:rsidRDefault="00E12DD9" w:rsidP="00E12DD9">
      <w:pPr>
        <w:spacing w:after="0" w:line="240" w:lineRule="auto"/>
        <w:ind w:left="283"/>
        <w:contextualSpacing/>
        <w:rPr>
          <w:sz w:val="24"/>
          <w:szCs w:val="24"/>
        </w:rPr>
      </w:pPr>
    </w:p>
    <w:p w14:paraId="76295699" w14:textId="77777777" w:rsidR="007E4EA3" w:rsidRDefault="007E4EA3" w:rsidP="00E12DD9">
      <w:pPr>
        <w:spacing w:after="0" w:line="240" w:lineRule="auto"/>
        <w:ind w:left="283"/>
        <w:contextualSpacing/>
        <w:rPr>
          <w:sz w:val="24"/>
          <w:szCs w:val="24"/>
        </w:rPr>
      </w:pPr>
    </w:p>
    <w:p w14:paraId="2AEC1695" w14:textId="77777777" w:rsidR="004B30AF" w:rsidRPr="00D038CF" w:rsidRDefault="004B30AF" w:rsidP="00E12DD9">
      <w:pPr>
        <w:spacing w:after="0" w:line="240" w:lineRule="auto"/>
        <w:ind w:left="283"/>
        <w:contextualSpacing/>
        <w:rPr>
          <w:sz w:val="32"/>
          <w:szCs w:val="32"/>
        </w:rPr>
      </w:pPr>
    </w:p>
    <w:p w14:paraId="15B643A3" w14:textId="64B355AE" w:rsidR="0017540B" w:rsidRPr="00D038CF" w:rsidRDefault="00BD06EC" w:rsidP="00BD06EC">
      <w:pPr>
        <w:spacing w:after="0" w:line="240" w:lineRule="auto"/>
        <w:ind w:firstLine="567"/>
        <w:jc w:val="center"/>
        <w:rPr>
          <w:rFonts w:ascii="Amasis MT Pro Black" w:hAnsi="Amasis MT Pro Black"/>
          <w:b/>
          <w:bCs/>
          <w:color w:val="D46F63"/>
          <w:sz w:val="48"/>
          <w:szCs w:val="48"/>
        </w:rPr>
      </w:pPr>
      <w:r>
        <w:rPr>
          <w:rFonts w:ascii="Amasis MT Pro Black" w:hAnsi="Amasis MT Pro Black"/>
          <w:b/>
          <w:bCs/>
          <w:color w:val="008796"/>
          <w:sz w:val="48"/>
          <w:szCs w:val="48"/>
        </w:rPr>
        <w:t xml:space="preserve">PRRE </w:t>
      </w:r>
      <w:r w:rsidRPr="008A3B45">
        <w:rPr>
          <w:rFonts w:ascii="Amasis MT Pro Black" w:hAnsi="Amasis MT Pro Black"/>
          <w:b/>
          <w:bCs/>
          <w:color w:val="008796"/>
          <w:sz w:val="48"/>
          <w:szCs w:val="48"/>
          <w:lang w:val="en-US"/>
        </w:rPr>
        <w:t>Referral and Triage Guide</w:t>
      </w:r>
      <w:r w:rsidR="0017540B" w:rsidRPr="00D038CF">
        <w:rPr>
          <w:rFonts w:ascii="Amasis MT Pro Black" w:hAnsi="Amasis MT Pro Black"/>
          <w:b/>
          <w:bCs/>
          <w:color w:val="D46F63"/>
          <w:sz w:val="48"/>
          <w:szCs w:val="48"/>
        </w:rPr>
        <w:t>.</w:t>
      </w:r>
    </w:p>
    <w:p w14:paraId="219932C4" w14:textId="0D3D55A2" w:rsidR="00BD06EC" w:rsidRDefault="00BD06EC" w:rsidP="00BD06EC">
      <w:pPr>
        <w:spacing w:after="0" w:line="240" w:lineRule="auto"/>
        <w:ind w:firstLine="567"/>
        <w:jc w:val="center"/>
        <w:rPr>
          <w:bCs/>
          <w:color w:val="000000" w:themeColor="text1"/>
          <w:sz w:val="24"/>
          <w:szCs w:val="24"/>
          <w:lang w:val="en-US"/>
        </w:rPr>
      </w:pPr>
      <w:r w:rsidRPr="008A3B45">
        <w:rPr>
          <w:bCs/>
          <w:color w:val="000000" w:themeColor="text1"/>
          <w:sz w:val="24"/>
          <w:szCs w:val="24"/>
          <w:lang w:val="en-US"/>
        </w:rPr>
        <w:t>Clear thresholds and practical guidance for education settings and PRRE teams</w:t>
      </w:r>
    </w:p>
    <w:p w14:paraId="2A61C5AB" w14:textId="77777777" w:rsidR="00292667" w:rsidRPr="008A3B45" w:rsidRDefault="00292667" w:rsidP="00BD06EC">
      <w:pPr>
        <w:spacing w:after="0" w:line="240" w:lineRule="auto"/>
        <w:ind w:firstLine="567"/>
        <w:jc w:val="center"/>
        <w:rPr>
          <w:bCs/>
          <w:color w:val="000000" w:themeColor="text1"/>
          <w:sz w:val="24"/>
          <w:szCs w:val="24"/>
        </w:rPr>
      </w:pPr>
    </w:p>
    <w:p w14:paraId="06518ED1" w14:textId="77777777" w:rsidR="008A3B45" w:rsidRPr="008A3B45" w:rsidRDefault="008A3B45" w:rsidP="00292667">
      <w:pPr>
        <w:spacing w:after="0" w:line="240" w:lineRule="auto"/>
        <w:rPr>
          <w:rFonts w:cstheme="minorHAnsi"/>
          <w:bCs/>
          <w:color w:val="000000" w:themeColor="text1"/>
          <w:sz w:val="24"/>
          <w:szCs w:val="24"/>
        </w:rPr>
      </w:pPr>
      <w:r w:rsidRPr="008A3B45">
        <w:rPr>
          <w:rFonts w:cstheme="minorHAnsi"/>
          <w:bCs/>
          <w:color w:val="000000" w:themeColor="text1"/>
          <w:sz w:val="24"/>
          <w:szCs w:val="24"/>
          <w:lang w:val="en-US"/>
        </w:rPr>
        <w:t>Milton Keynes Youth Justice Service (MKYJS)</w:t>
      </w:r>
      <w:r w:rsidRPr="008A3B45">
        <w:rPr>
          <w:rFonts w:cstheme="minorHAnsi"/>
          <w:bCs/>
          <w:color w:val="000000" w:themeColor="text1"/>
          <w:sz w:val="24"/>
          <w:szCs w:val="24"/>
        </w:rPr>
        <w:t> </w:t>
      </w:r>
    </w:p>
    <w:p w14:paraId="01E08C32" w14:textId="77777777" w:rsidR="008A3B45" w:rsidRPr="008A3B45" w:rsidRDefault="008A3B45" w:rsidP="00292667">
      <w:pPr>
        <w:spacing w:after="0" w:line="240" w:lineRule="auto"/>
        <w:rPr>
          <w:rFonts w:cstheme="minorHAnsi"/>
          <w:bCs/>
          <w:color w:val="000000" w:themeColor="text1"/>
          <w:sz w:val="24"/>
          <w:szCs w:val="24"/>
        </w:rPr>
      </w:pPr>
      <w:r w:rsidRPr="008A3B45">
        <w:rPr>
          <w:rFonts w:cstheme="minorHAnsi"/>
          <w:bCs/>
          <w:color w:val="000000" w:themeColor="text1"/>
          <w:sz w:val="24"/>
          <w:szCs w:val="24"/>
          <w:lang w:val="en-US"/>
        </w:rPr>
        <w:t>Milton Keynes City Council</w:t>
      </w:r>
      <w:r w:rsidRPr="008A3B45">
        <w:rPr>
          <w:rFonts w:cstheme="minorHAnsi"/>
          <w:bCs/>
          <w:color w:val="000000" w:themeColor="text1"/>
          <w:sz w:val="24"/>
          <w:szCs w:val="24"/>
        </w:rPr>
        <w:t> </w:t>
      </w:r>
    </w:p>
    <w:p w14:paraId="1E6F0A58" w14:textId="77777777" w:rsidR="008A3B45" w:rsidRPr="008A3B45" w:rsidRDefault="008A3B45" w:rsidP="00292667">
      <w:pPr>
        <w:spacing w:after="0" w:line="240" w:lineRule="auto"/>
        <w:rPr>
          <w:rFonts w:cstheme="minorHAnsi"/>
          <w:bCs/>
          <w:color w:val="000000" w:themeColor="text1"/>
          <w:sz w:val="24"/>
          <w:szCs w:val="24"/>
        </w:rPr>
      </w:pPr>
      <w:r w:rsidRPr="008A3B45">
        <w:rPr>
          <w:rFonts w:cstheme="minorHAnsi"/>
          <w:bCs/>
          <w:color w:val="000000" w:themeColor="text1"/>
          <w:sz w:val="24"/>
          <w:szCs w:val="24"/>
          <w:lang w:val="en-US"/>
        </w:rPr>
        <w:t>10 March 2026 | Version 1.0</w:t>
      </w:r>
      <w:r w:rsidRPr="008A3B45">
        <w:rPr>
          <w:rFonts w:cstheme="minorHAnsi"/>
          <w:bCs/>
          <w:color w:val="000000" w:themeColor="text1"/>
          <w:sz w:val="24"/>
          <w:szCs w:val="24"/>
        </w:rPr>
        <w:t> </w:t>
      </w:r>
    </w:p>
    <w:p w14:paraId="7362D0C6" w14:textId="77777777" w:rsidR="00023A1D" w:rsidRDefault="00023A1D" w:rsidP="00023A1D">
      <w:pPr>
        <w:spacing w:after="0" w:line="240" w:lineRule="auto"/>
        <w:rPr>
          <w:rFonts w:cstheme="minorHAnsi"/>
          <w:bCs/>
          <w:color w:val="000000" w:themeColor="text1"/>
          <w:sz w:val="24"/>
          <w:szCs w:val="24"/>
          <w:lang w:val="en-US"/>
        </w:rPr>
      </w:pPr>
    </w:p>
    <w:p w14:paraId="24ECA3F2" w14:textId="5B8E0BAD" w:rsidR="008A3B45" w:rsidRPr="008A3B45" w:rsidRDefault="008A3B45" w:rsidP="00023A1D">
      <w:pPr>
        <w:spacing w:after="0" w:line="240" w:lineRule="auto"/>
        <w:rPr>
          <w:rFonts w:cstheme="minorHAnsi"/>
          <w:bCs/>
          <w:color w:val="66BDCC"/>
          <w:sz w:val="32"/>
          <w:szCs w:val="32"/>
        </w:rPr>
      </w:pPr>
      <w:r w:rsidRPr="008A3B45">
        <w:rPr>
          <w:rFonts w:cstheme="minorHAnsi"/>
          <w:bCs/>
          <w:color w:val="66BDCC"/>
          <w:sz w:val="32"/>
          <w:szCs w:val="32"/>
          <w:lang w:val="en-US"/>
        </w:rPr>
        <w:t>Introduction</w:t>
      </w:r>
      <w:r w:rsidRPr="008A3B45">
        <w:rPr>
          <w:rFonts w:cstheme="minorHAnsi"/>
          <w:bCs/>
          <w:color w:val="66BDCC"/>
          <w:sz w:val="32"/>
          <w:szCs w:val="32"/>
        </w:rPr>
        <w:t> </w:t>
      </w:r>
    </w:p>
    <w:p w14:paraId="0959EC08" w14:textId="77777777" w:rsidR="00023A1D" w:rsidRDefault="00023A1D" w:rsidP="00023A1D">
      <w:pPr>
        <w:spacing w:after="0" w:line="240" w:lineRule="auto"/>
        <w:rPr>
          <w:b/>
          <w:color w:val="000000" w:themeColor="text1"/>
          <w:sz w:val="32"/>
          <w:szCs w:val="32"/>
          <w:lang w:val="en-US"/>
        </w:rPr>
      </w:pPr>
    </w:p>
    <w:p w14:paraId="255A3A75" w14:textId="30F02F78" w:rsidR="008A3B45" w:rsidRPr="00292667" w:rsidRDefault="008A3B45" w:rsidP="00023A1D">
      <w:pPr>
        <w:spacing w:after="0" w:line="240" w:lineRule="auto"/>
        <w:rPr>
          <w:rFonts w:cstheme="minorHAnsi"/>
          <w:bCs/>
          <w:color w:val="000000" w:themeColor="text1"/>
          <w:sz w:val="24"/>
          <w:szCs w:val="24"/>
        </w:rPr>
      </w:pPr>
      <w:r w:rsidRPr="008A3B45">
        <w:rPr>
          <w:rFonts w:cstheme="minorHAnsi"/>
          <w:bCs/>
          <w:color w:val="000000" w:themeColor="text1"/>
          <w:sz w:val="24"/>
          <w:szCs w:val="24"/>
          <w:lang w:val="en-US"/>
        </w:rPr>
        <w:t>This document sets out a structured approach to referral and triage within education settings and the Promoting Reintegration and Reducing Exclusions (PRRE) framework. It is shared as an example of good practice to support both national learning and local adaptation. The guidance should be used alongside local governance arrangements, information-sharing agreements, and established education, health, and safeguarding pathways.</w:t>
      </w:r>
      <w:r w:rsidRPr="008A3B45">
        <w:rPr>
          <w:rFonts w:cstheme="minorHAnsi"/>
          <w:bCs/>
          <w:color w:val="000000" w:themeColor="text1"/>
          <w:sz w:val="24"/>
          <w:szCs w:val="24"/>
        </w:rPr>
        <w:t> </w:t>
      </w:r>
    </w:p>
    <w:p w14:paraId="44E01AD9" w14:textId="77777777" w:rsidR="00292667" w:rsidRDefault="00292667" w:rsidP="00292667">
      <w:pPr>
        <w:spacing w:after="0" w:line="240" w:lineRule="auto"/>
        <w:rPr>
          <w:rFonts w:cstheme="minorHAnsi"/>
          <w:b/>
          <w:color w:val="000000" w:themeColor="text1"/>
          <w:sz w:val="24"/>
          <w:szCs w:val="24"/>
        </w:rPr>
      </w:pPr>
    </w:p>
    <w:p w14:paraId="11814F2F" w14:textId="0FF4FED0" w:rsidR="008A3B45" w:rsidRDefault="008A3B45" w:rsidP="00292667">
      <w:pPr>
        <w:spacing w:after="0" w:line="240" w:lineRule="auto"/>
        <w:rPr>
          <w:rFonts w:cstheme="minorHAnsi"/>
          <w:color w:val="66BDCC"/>
          <w:sz w:val="32"/>
          <w:szCs w:val="32"/>
        </w:rPr>
      </w:pPr>
      <w:r w:rsidRPr="008A3B45">
        <w:rPr>
          <w:rFonts w:cstheme="minorHAnsi"/>
          <w:color w:val="66BDCC"/>
          <w:sz w:val="32"/>
          <w:szCs w:val="32"/>
          <w:lang w:val="en-US"/>
        </w:rPr>
        <w:t>Referral Thresholds</w:t>
      </w:r>
      <w:r w:rsidRPr="008A3B45">
        <w:rPr>
          <w:rFonts w:cstheme="minorHAnsi"/>
          <w:color w:val="66BDCC"/>
          <w:sz w:val="32"/>
          <w:szCs w:val="32"/>
        </w:rPr>
        <w:t> </w:t>
      </w:r>
    </w:p>
    <w:p w14:paraId="66D3C7F3" w14:textId="77777777" w:rsidR="00292667" w:rsidRPr="008A3B45" w:rsidRDefault="00292667" w:rsidP="00292667">
      <w:pPr>
        <w:spacing w:after="0" w:line="240" w:lineRule="auto"/>
        <w:rPr>
          <w:rFonts w:cstheme="minorHAnsi"/>
          <w:color w:val="66BDCC"/>
          <w:sz w:val="32"/>
          <w:szCs w:val="32"/>
        </w:rPr>
      </w:pPr>
    </w:p>
    <w:p w14:paraId="28C765CA" w14:textId="4D17266C" w:rsidR="008A3B45" w:rsidRPr="00292667" w:rsidRDefault="008A3B45" w:rsidP="00292667">
      <w:pPr>
        <w:spacing w:after="0" w:line="240" w:lineRule="auto"/>
        <w:rPr>
          <w:rFonts w:cstheme="minorHAnsi"/>
          <w:bCs/>
          <w:color w:val="000000" w:themeColor="text1"/>
          <w:sz w:val="24"/>
          <w:szCs w:val="24"/>
        </w:rPr>
      </w:pPr>
      <w:r w:rsidRPr="008A3B45">
        <w:rPr>
          <w:rFonts w:cstheme="minorHAnsi"/>
          <w:bCs/>
          <w:color w:val="000000" w:themeColor="text1"/>
          <w:sz w:val="24"/>
          <w:szCs w:val="24"/>
          <w:lang w:val="en-US"/>
        </w:rPr>
        <w:t>Referrals should be considered where there </w:t>
      </w:r>
      <w:proofErr w:type="gramStart"/>
      <w:r w:rsidRPr="008A3B45">
        <w:rPr>
          <w:rFonts w:cstheme="minorHAnsi"/>
          <w:bCs/>
          <w:color w:val="000000" w:themeColor="text1"/>
          <w:sz w:val="24"/>
          <w:szCs w:val="24"/>
          <w:lang w:val="en-US"/>
        </w:rPr>
        <w:t>is</w:t>
      </w:r>
      <w:proofErr w:type="gramEnd"/>
      <w:r w:rsidRPr="008A3B45">
        <w:rPr>
          <w:rFonts w:cstheme="minorHAnsi"/>
          <w:bCs/>
          <w:color w:val="000000" w:themeColor="text1"/>
          <w:sz w:val="24"/>
          <w:szCs w:val="24"/>
          <w:lang w:val="en-US"/>
        </w:rPr>
        <w:t xml:space="preserve"> evidence of escalating need and a heightened risk of exclusion or disengagement from education. This includes cases where a pupil is at significant risk of suspension or permanent exclusion, and where a managed move is being considered or has already been initiated. Referrals are also appropriate </w:t>
      </w:r>
      <w:proofErr w:type="gramStart"/>
      <w:r w:rsidRPr="008A3B45">
        <w:rPr>
          <w:rFonts w:cstheme="minorHAnsi"/>
          <w:bCs/>
          <w:color w:val="000000" w:themeColor="text1"/>
          <w:sz w:val="24"/>
          <w:szCs w:val="24"/>
          <w:lang w:val="en-US"/>
        </w:rPr>
        <w:t>where</w:t>
      </w:r>
      <w:proofErr w:type="gramEnd"/>
      <w:r w:rsidRPr="008A3B45">
        <w:rPr>
          <w:rFonts w:cstheme="minorHAnsi"/>
          <w:bCs/>
          <w:color w:val="000000" w:themeColor="text1"/>
          <w:sz w:val="24"/>
          <w:szCs w:val="24"/>
          <w:lang w:val="en-US"/>
        </w:rPr>
        <w:t> a young person is reintegrating from Alternative Provision (AP) or a Pupil Referral Unit (PRU), particularly where there is a </w:t>
      </w:r>
      <w:proofErr w:type="spellStart"/>
      <w:r w:rsidRPr="008A3B45">
        <w:rPr>
          <w:rFonts w:cstheme="minorHAnsi"/>
          <w:bCs/>
          <w:color w:val="000000" w:themeColor="text1"/>
          <w:sz w:val="24"/>
          <w:szCs w:val="24"/>
          <w:lang w:val="en-US"/>
        </w:rPr>
        <w:t>recognised</w:t>
      </w:r>
      <w:proofErr w:type="spellEnd"/>
      <w:r w:rsidRPr="008A3B45">
        <w:rPr>
          <w:rFonts w:cstheme="minorHAnsi"/>
          <w:bCs/>
          <w:color w:val="000000" w:themeColor="text1"/>
          <w:sz w:val="24"/>
          <w:szCs w:val="24"/>
          <w:lang w:val="en-US"/>
        </w:rPr>
        <w:t> risk of placement breakdown. Additionally, concerns relating to communication difficulties that impact learning, relationships, or </w:t>
      </w:r>
      <w:proofErr w:type="spellStart"/>
      <w:r w:rsidRPr="008A3B45">
        <w:rPr>
          <w:rFonts w:cstheme="minorHAnsi"/>
          <w:bCs/>
          <w:color w:val="000000" w:themeColor="text1"/>
          <w:sz w:val="24"/>
          <w:szCs w:val="24"/>
          <w:lang w:val="en-US"/>
        </w:rPr>
        <w:t>behaviour</w:t>
      </w:r>
      <w:proofErr w:type="spellEnd"/>
      <w:r w:rsidRPr="008A3B45">
        <w:rPr>
          <w:rFonts w:cstheme="minorHAnsi"/>
          <w:bCs/>
          <w:color w:val="000000" w:themeColor="text1"/>
          <w:sz w:val="24"/>
          <w:szCs w:val="24"/>
          <w:lang w:val="en-US"/>
        </w:rPr>
        <w:t xml:space="preserve"> should be considered as a key threshold for </w:t>
      </w:r>
      <w:proofErr w:type="gramStart"/>
      <w:r w:rsidRPr="008A3B45">
        <w:rPr>
          <w:rFonts w:cstheme="minorHAnsi"/>
          <w:bCs/>
          <w:color w:val="000000" w:themeColor="text1"/>
          <w:sz w:val="24"/>
          <w:szCs w:val="24"/>
          <w:lang w:val="en-US"/>
        </w:rPr>
        <w:t>referral</w:t>
      </w:r>
      <w:proofErr w:type="gramEnd"/>
      <w:r w:rsidRPr="008A3B45">
        <w:rPr>
          <w:rFonts w:cstheme="minorHAnsi"/>
          <w:bCs/>
          <w:color w:val="000000" w:themeColor="text1"/>
          <w:sz w:val="24"/>
          <w:szCs w:val="24"/>
          <w:lang w:val="en-US"/>
        </w:rPr>
        <w:t>.</w:t>
      </w:r>
      <w:r w:rsidRPr="008A3B45">
        <w:rPr>
          <w:rFonts w:cstheme="minorHAnsi"/>
          <w:bCs/>
          <w:color w:val="000000" w:themeColor="text1"/>
          <w:sz w:val="24"/>
          <w:szCs w:val="24"/>
        </w:rPr>
        <w:t> </w:t>
      </w:r>
    </w:p>
    <w:p w14:paraId="2437C299" w14:textId="77777777" w:rsidR="00292667" w:rsidRPr="008A3B45" w:rsidRDefault="00292667" w:rsidP="00292667">
      <w:pPr>
        <w:spacing w:after="0" w:line="240" w:lineRule="auto"/>
        <w:rPr>
          <w:rFonts w:cstheme="minorHAnsi"/>
          <w:b/>
          <w:color w:val="000000" w:themeColor="text1"/>
          <w:sz w:val="24"/>
          <w:szCs w:val="24"/>
        </w:rPr>
      </w:pPr>
    </w:p>
    <w:p w14:paraId="0498B434" w14:textId="77777777" w:rsidR="008A3B45" w:rsidRDefault="008A3B45" w:rsidP="00292667">
      <w:pPr>
        <w:spacing w:after="0" w:line="240" w:lineRule="auto"/>
        <w:rPr>
          <w:rFonts w:cstheme="minorHAnsi"/>
          <w:color w:val="66BDCC"/>
          <w:sz w:val="32"/>
          <w:szCs w:val="32"/>
        </w:rPr>
      </w:pPr>
      <w:r w:rsidRPr="008A3B45">
        <w:rPr>
          <w:rFonts w:cstheme="minorHAnsi"/>
          <w:color w:val="66BDCC"/>
          <w:sz w:val="32"/>
          <w:szCs w:val="32"/>
          <w:lang w:val="en-US"/>
        </w:rPr>
        <w:t>Information Required at Referral</w:t>
      </w:r>
      <w:r w:rsidRPr="008A3B45">
        <w:rPr>
          <w:rFonts w:cstheme="minorHAnsi"/>
          <w:color w:val="66BDCC"/>
          <w:sz w:val="32"/>
          <w:szCs w:val="32"/>
        </w:rPr>
        <w:t> </w:t>
      </w:r>
    </w:p>
    <w:p w14:paraId="5E3DE12B" w14:textId="77777777" w:rsidR="00292667" w:rsidRPr="008A3B45" w:rsidRDefault="00292667" w:rsidP="00292667">
      <w:pPr>
        <w:spacing w:after="0" w:line="240" w:lineRule="auto"/>
        <w:rPr>
          <w:rFonts w:cstheme="minorHAnsi"/>
          <w:color w:val="66BDCC"/>
          <w:sz w:val="32"/>
          <w:szCs w:val="32"/>
        </w:rPr>
      </w:pPr>
    </w:p>
    <w:p w14:paraId="7145DCBE" w14:textId="77777777" w:rsidR="008A3B45" w:rsidRPr="00292667" w:rsidRDefault="008A3B45" w:rsidP="00292667">
      <w:pPr>
        <w:spacing w:after="0" w:line="240" w:lineRule="auto"/>
        <w:rPr>
          <w:rFonts w:cstheme="minorHAnsi"/>
          <w:bCs/>
          <w:color w:val="000000" w:themeColor="text1"/>
          <w:sz w:val="24"/>
          <w:szCs w:val="24"/>
        </w:rPr>
      </w:pPr>
      <w:r w:rsidRPr="008A3B45">
        <w:rPr>
          <w:rFonts w:cstheme="minorHAnsi"/>
          <w:bCs/>
          <w:color w:val="000000" w:themeColor="text1"/>
          <w:sz w:val="24"/>
          <w:szCs w:val="24"/>
          <w:lang w:val="en-US"/>
        </w:rPr>
        <w:t xml:space="preserve">To enable effective triage and timely decision-making, referrals must include comprehensive information. This should include </w:t>
      </w:r>
      <w:proofErr w:type="gramStart"/>
      <w:r w:rsidRPr="008A3B45">
        <w:rPr>
          <w:rFonts w:cstheme="minorHAnsi"/>
          <w:bCs/>
          <w:color w:val="000000" w:themeColor="text1"/>
          <w:sz w:val="24"/>
          <w:szCs w:val="24"/>
          <w:lang w:val="en-US"/>
        </w:rPr>
        <w:t>pupil details</w:t>
      </w:r>
      <w:proofErr w:type="gramEnd"/>
      <w:r w:rsidRPr="008A3B45">
        <w:rPr>
          <w:rFonts w:cstheme="minorHAnsi"/>
          <w:bCs/>
          <w:color w:val="000000" w:themeColor="text1"/>
          <w:sz w:val="24"/>
          <w:szCs w:val="24"/>
          <w:lang w:val="en-US"/>
        </w:rPr>
        <w:t xml:space="preserve"> such as year group and </w:t>
      </w:r>
      <w:proofErr w:type="gramStart"/>
      <w:r w:rsidRPr="008A3B45">
        <w:rPr>
          <w:rFonts w:cstheme="minorHAnsi"/>
          <w:bCs/>
          <w:color w:val="000000" w:themeColor="text1"/>
          <w:sz w:val="24"/>
          <w:szCs w:val="24"/>
          <w:lang w:val="en-US"/>
        </w:rPr>
        <w:t>setting</w:t>
      </w:r>
      <w:proofErr w:type="gramEnd"/>
      <w:r w:rsidRPr="008A3B45">
        <w:rPr>
          <w:rFonts w:cstheme="minorHAnsi"/>
          <w:bCs/>
          <w:color w:val="000000" w:themeColor="text1"/>
          <w:sz w:val="24"/>
          <w:szCs w:val="24"/>
          <w:lang w:val="en-US"/>
        </w:rPr>
        <w:t xml:space="preserve"> </w:t>
      </w:r>
      <w:proofErr w:type="gramStart"/>
      <w:r w:rsidRPr="008A3B45">
        <w:rPr>
          <w:rFonts w:cstheme="minorHAnsi"/>
          <w:bCs/>
          <w:color w:val="000000" w:themeColor="text1"/>
          <w:sz w:val="24"/>
          <w:szCs w:val="24"/>
          <w:lang w:val="en-US"/>
        </w:rPr>
        <w:t>contact</w:t>
      </w:r>
      <w:proofErr w:type="gramEnd"/>
      <w:r w:rsidRPr="008A3B45">
        <w:rPr>
          <w:rFonts w:cstheme="minorHAnsi"/>
          <w:bCs/>
          <w:color w:val="000000" w:themeColor="text1"/>
          <w:sz w:val="24"/>
          <w:szCs w:val="24"/>
          <w:lang w:val="en-US"/>
        </w:rPr>
        <w:t>. A strengths-based overview outlining interests, abilities, and protective factors should be provided to support effective planning. Education history, including attendance, exclusions, managed moves, and timetable adjustments, must be clearly outlined. SEND information should detail SEN Support or EHCP status, alongside assessments undertaken and interventions already tried. Relevant safeguarding information, risks, and professionals involved should also be included, along with confirmation of consent and preferred communication needs.</w:t>
      </w:r>
      <w:r w:rsidRPr="008A3B45">
        <w:rPr>
          <w:rFonts w:cstheme="minorHAnsi"/>
          <w:bCs/>
          <w:color w:val="000000" w:themeColor="text1"/>
          <w:sz w:val="24"/>
          <w:szCs w:val="24"/>
        </w:rPr>
        <w:t> </w:t>
      </w:r>
    </w:p>
    <w:p w14:paraId="56FAB137" w14:textId="77777777" w:rsidR="00292667" w:rsidRDefault="00292667" w:rsidP="00292667">
      <w:pPr>
        <w:spacing w:after="0" w:line="240" w:lineRule="auto"/>
        <w:rPr>
          <w:rFonts w:cstheme="minorHAnsi"/>
          <w:b/>
          <w:color w:val="000000" w:themeColor="text1"/>
          <w:sz w:val="24"/>
          <w:szCs w:val="24"/>
        </w:rPr>
      </w:pPr>
    </w:p>
    <w:p w14:paraId="5C0200E4" w14:textId="77777777" w:rsidR="00292667" w:rsidRDefault="00292667" w:rsidP="00292667">
      <w:pPr>
        <w:spacing w:after="0" w:line="240" w:lineRule="auto"/>
        <w:rPr>
          <w:rFonts w:cstheme="minorHAnsi"/>
          <w:b/>
          <w:color w:val="000000" w:themeColor="text1"/>
          <w:sz w:val="24"/>
          <w:szCs w:val="24"/>
        </w:rPr>
      </w:pPr>
    </w:p>
    <w:p w14:paraId="2E61DA6A" w14:textId="77777777" w:rsidR="00292667" w:rsidRDefault="00292667" w:rsidP="00292667">
      <w:pPr>
        <w:spacing w:after="0" w:line="240" w:lineRule="auto"/>
        <w:rPr>
          <w:rFonts w:cstheme="minorHAnsi"/>
          <w:b/>
          <w:color w:val="000000" w:themeColor="text1"/>
          <w:sz w:val="24"/>
          <w:szCs w:val="24"/>
        </w:rPr>
      </w:pPr>
    </w:p>
    <w:p w14:paraId="1BD26E03" w14:textId="77777777" w:rsidR="00292667" w:rsidRDefault="00292667" w:rsidP="00292667">
      <w:pPr>
        <w:spacing w:after="0" w:line="240" w:lineRule="auto"/>
        <w:rPr>
          <w:rFonts w:cstheme="minorHAnsi"/>
          <w:b/>
          <w:color w:val="000000" w:themeColor="text1"/>
          <w:sz w:val="24"/>
          <w:szCs w:val="24"/>
        </w:rPr>
      </w:pPr>
    </w:p>
    <w:p w14:paraId="284674FD" w14:textId="77777777" w:rsidR="00292667" w:rsidRDefault="00292667" w:rsidP="00292667">
      <w:pPr>
        <w:spacing w:after="0" w:line="240" w:lineRule="auto"/>
        <w:rPr>
          <w:rFonts w:cstheme="minorHAnsi"/>
          <w:b/>
          <w:color w:val="000000" w:themeColor="text1"/>
          <w:sz w:val="24"/>
          <w:szCs w:val="24"/>
        </w:rPr>
      </w:pPr>
    </w:p>
    <w:p w14:paraId="2FE137B5" w14:textId="77777777" w:rsidR="00292667" w:rsidRDefault="00292667" w:rsidP="00292667">
      <w:pPr>
        <w:spacing w:after="0" w:line="240" w:lineRule="auto"/>
        <w:rPr>
          <w:rFonts w:cstheme="minorHAnsi"/>
          <w:b/>
          <w:color w:val="000000" w:themeColor="text1"/>
          <w:sz w:val="24"/>
          <w:szCs w:val="24"/>
        </w:rPr>
      </w:pPr>
    </w:p>
    <w:p w14:paraId="49B8AECF" w14:textId="77777777" w:rsidR="00292667" w:rsidRDefault="00292667" w:rsidP="00292667">
      <w:pPr>
        <w:spacing w:after="0" w:line="240" w:lineRule="auto"/>
        <w:rPr>
          <w:rFonts w:cstheme="minorHAnsi"/>
          <w:b/>
          <w:color w:val="000000" w:themeColor="text1"/>
          <w:sz w:val="24"/>
          <w:szCs w:val="24"/>
        </w:rPr>
      </w:pPr>
    </w:p>
    <w:p w14:paraId="25E3DB15" w14:textId="77777777" w:rsidR="00292667" w:rsidRDefault="00292667" w:rsidP="00292667">
      <w:pPr>
        <w:spacing w:after="0" w:line="240" w:lineRule="auto"/>
        <w:rPr>
          <w:rFonts w:cstheme="minorHAnsi"/>
          <w:b/>
          <w:color w:val="000000" w:themeColor="text1"/>
          <w:sz w:val="24"/>
          <w:szCs w:val="24"/>
        </w:rPr>
      </w:pPr>
    </w:p>
    <w:p w14:paraId="20326B86" w14:textId="1C9BF3C7" w:rsidR="008A3B45" w:rsidRDefault="008A3B45" w:rsidP="00292667">
      <w:pPr>
        <w:spacing w:after="0" w:line="240" w:lineRule="auto"/>
        <w:rPr>
          <w:rFonts w:cstheme="minorHAnsi"/>
          <w:color w:val="66BDCC"/>
          <w:sz w:val="32"/>
          <w:szCs w:val="32"/>
        </w:rPr>
      </w:pPr>
      <w:r w:rsidRPr="008A3B45">
        <w:rPr>
          <w:rFonts w:cstheme="minorHAnsi"/>
          <w:color w:val="66BDCC"/>
          <w:sz w:val="32"/>
          <w:szCs w:val="32"/>
          <w:lang w:val="en-US"/>
        </w:rPr>
        <w:t>Triage and </w:t>
      </w:r>
      <w:proofErr w:type="spellStart"/>
      <w:r w:rsidRPr="008A3B45">
        <w:rPr>
          <w:rFonts w:cstheme="minorHAnsi"/>
          <w:color w:val="66BDCC"/>
          <w:sz w:val="32"/>
          <w:szCs w:val="32"/>
          <w:lang w:val="en-US"/>
        </w:rPr>
        <w:t>Prioritisation</w:t>
      </w:r>
      <w:proofErr w:type="spellEnd"/>
      <w:r w:rsidRPr="008A3B45">
        <w:rPr>
          <w:rFonts w:cstheme="minorHAnsi"/>
          <w:color w:val="66BDCC"/>
          <w:sz w:val="32"/>
          <w:szCs w:val="32"/>
        </w:rPr>
        <w:t> </w:t>
      </w:r>
    </w:p>
    <w:p w14:paraId="5D56CD1F" w14:textId="77777777" w:rsidR="00292667" w:rsidRPr="008A3B45" w:rsidRDefault="00292667" w:rsidP="00292667">
      <w:pPr>
        <w:spacing w:after="0" w:line="240" w:lineRule="auto"/>
        <w:rPr>
          <w:rFonts w:cstheme="minorHAnsi"/>
          <w:color w:val="66BDCC"/>
          <w:sz w:val="32"/>
          <w:szCs w:val="32"/>
        </w:rPr>
      </w:pPr>
    </w:p>
    <w:p w14:paraId="4953A8F4" w14:textId="77777777" w:rsidR="008A3B45" w:rsidRPr="008A3B45" w:rsidRDefault="008A3B45" w:rsidP="00292667">
      <w:pPr>
        <w:spacing w:after="0" w:line="240" w:lineRule="auto"/>
        <w:rPr>
          <w:rFonts w:cstheme="minorHAnsi"/>
          <w:bCs/>
          <w:color w:val="000000" w:themeColor="text1"/>
          <w:sz w:val="24"/>
          <w:szCs w:val="24"/>
        </w:rPr>
      </w:pPr>
      <w:r w:rsidRPr="008A3B45">
        <w:rPr>
          <w:rFonts w:cstheme="minorHAnsi"/>
          <w:bCs/>
          <w:color w:val="000000" w:themeColor="text1"/>
          <w:sz w:val="24"/>
          <w:szCs w:val="24"/>
          <w:lang w:val="en-US"/>
        </w:rPr>
        <w:t>All referrals will be subject to a structured triage process to ensure resources are allocated effectively. Priority will be given to cases where there is an imminent risk of exclusion or reintegration breakdown. Safeguarding considerations, including potential exploitation or harm outside the home, will be central to triage decisions. The complexity of need, including neurodevelopmental needs, mental health concerns, and language considerations such as English as an Additional Language (EAL), will also inform </w:t>
      </w:r>
      <w:proofErr w:type="spellStart"/>
      <w:r w:rsidRPr="008A3B45">
        <w:rPr>
          <w:rFonts w:cstheme="minorHAnsi"/>
          <w:bCs/>
          <w:color w:val="000000" w:themeColor="text1"/>
          <w:sz w:val="24"/>
          <w:szCs w:val="24"/>
          <w:lang w:val="en-US"/>
        </w:rPr>
        <w:t>prioritisation</w:t>
      </w:r>
      <w:proofErr w:type="spellEnd"/>
      <w:r w:rsidRPr="008A3B45">
        <w:rPr>
          <w:rFonts w:cstheme="minorHAnsi"/>
          <w:bCs/>
          <w:color w:val="000000" w:themeColor="text1"/>
          <w:sz w:val="24"/>
          <w:szCs w:val="24"/>
          <w:lang w:val="en-US"/>
        </w:rPr>
        <w:t>. Capacity will be managed transparently and equitably, ensuring fair and consistent allocation of assessment and intervention resources.</w:t>
      </w:r>
      <w:r w:rsidRPr="008A3B45">
        <w:rPr>
          <w:rFonts w:cstheme="minorHAnsi"/>
          <w:bCs/>
          <w:color w:val="000000" w:themeColor="text1"/>
          <w:sz w:val="24"/>
          <w:szCs w:val="24"/>
        </w:rPr>
        <w:t> </w:t>
      </w:r>
    </w:p>
    <w:p w14:paraId="3B696CB4" w14:textId="673F936D" w:rsidR="00806C53" w:rsidRPr="007A7BE0" w:rsidRDefault="00806C53" w:rsidP="00806C53">
      <w:pPr>
        <w:spacing w:after="0" w:line="240" w:lineRule="auto"/>
        <w:ind w:left="567"/>
        <w:rPr>
          <w:color w:val="000000" w:themeColor="text1"/>
          <w:sz w:val="24"/>
          <w:szCs w:val="24"/>
        </w:rPr>
      </w:pPr>
    </w:p>
    <w:sectPr w:rsidR="00806C53" w:rsidRPr="007A7BE0" w:rsidSect="007A7BE0">
      <w:headerReference w:type="default" r:id="rId9"/>
      <w:footerReference w:type="default" r:id="rId10"/>
      <w:headerReference w:type="first" r:id="rId11"/>
      <w:pgSz w:w="11906" w:h="16838"/>
      <w:pgMar w:top="720" w:right="720" w:bottom="720" w:left="720"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9DE2" w14:textId="77777777" w:rsidR="008A3B45" w:rsidRDefault="008A3B45" w:rsidP="00F45CF3">
      <w:pPr>
        <w:spacing w:after="0" w:line="240" w:lineRule="auto"/>
      </w:pPr>
      <w:r>
        <w:separator/>
      </w:r>
    </w:p>
  </w:endnote>
  <w:endnote w:type="continuationSeparator" w:id="0">
    <w:p w14:paraId="54D03F42" w14:textId="77777777" w:rsidR="008A3B45" w:rsidRDefault="008A3B45" w:rsidP="00F45CF3">
      <w:pPr>
        <w:spacing w:after="0" w:line="240" w:lineRule="auto"/>
      </w:pPr>
      <w:r>
        <w:continuationSeparator/>
      </w:r>
    </w:p>
  </w:endnote>
  <w:endnote w:type="continuationNotice" w:id="1">
    <w:p w14:paraId="2B4D2EE8" w14:textId="77777777" w:rsidR="008A3B45" w:rsidRDefault="008A3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2386" w14:textId="77777777"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3D44" w14:textId="77777777" w:rsidR="008A3B45" w:rsidRDefault="008A3B45" w:rsidP="00F45CF3">
      <w:pPr>
        <w:spacing w:after="0" w:line="240" w:lineRule="auto"/>
      </w:pPr>
      <w:r>
        <w:separator/>
      </w:r>
    </w:p>
  </w:footnote>
  <w:footnote w:type="continuationSeparator" w:id="0">
    <w:p w14:paraId="2671CDEE" w14:textId="77777777" w:rsidR="008A3B45" w:rsidRDefault="008A3B45" w:rsidP="00F45CF3">
      <w:pPr>
        <w:spacing w:after="0" w:line="240" w:lineRule="auto"/>
      </w:pPr>
      <w:r>
        <w:continuationSeparator/>
      </w:r>
    </w:p>
  </w:footnote>
  <w:footnote w:type="continuationNotice" w:id="1">
    <w:p w14:paraId="52E9E856" w14:textId="77777777" w:rsidR="008A3B45" w:rsidRDefault="008A3B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C820" w14:textId="77777777" w:rsidR="00F45CF3" w:rsidRDefault="00F2793B"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47E5FC53">
              <wp:simplePos x="0" y="0"/>
              <wp:positionH relativeFrom="column">
                <wp:posOffset>-5658245</wp:posOffset>
              </wp:positionH>
              <wp:positionV relativeFrom="paragraph">
                <wp:posOffset>4534535</wp:posOffset>
              </wp:positionV>
              <wp:extent cx="10754678" cy="359410"/>
              <wp:effectExtent l="0" t="3175" r="5715" b="5715"/>
              <wp:wrapNone/>
              <wp:docPr id="598649480" name="Rectangle 598649480"/>
              <wp:cNvGraphicFramePr/>
              <a:graphic xmlns:a="http://schemas.openxmlformats.org/drawingml/2006/main">
                <a:graphicData uri="http://schemas.microsoft.com/office/word/2010/wordprocessingShape">
                  <wps:wsp>
                    <wps:cNvSpPr/>
                    <wps:spPr>
                      <a:xfrm rot="5400000">
                        <a:off x="0" y="0"/>
                        <a:ext cx="1075467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A087" id="Rectangle 598649480" o:spid="_x0000_s1026" style="position:absolute;margin-left:-445.55pt;margin-top:357.05pt;width:846.85pt;height:28.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" fillcolor="#008796"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F13F" w14:textId="77777777" w:rsidR="007A7BE0" w:rsidRDefault="00391F01">
    <w:pPr>
      <w:pStyle w:val="Header"/>
    </w:pPr>
    <w:r>
      <w:rPr>
        <w:noProof/>
        <w:lang w:eastAsia="en-GB"/>
      </w:rPr>
      <mc:AlternateContent>
        <mc:Choice Requires="wps">
          <w:drawing>
            <wp:anchor distT="0" distB="0" distL="114300" distR="114300" simplePos="0" relativeHeight="251661313" behindDoc="0" locked="0" layoutInCell="1" allowOverlap="1" wp14:anchorId="42770917" wp14:editId="545E2DE0">
              <wp:simplePos x="0" y="0"/>
              <wp:positionH relativeFrom="column">
                <wp:posOffset>-5645785</wp:posOffset>
              </wp:positionH>
              <wp:positionV relativeFrom="paragraph">
                <wp:posOffset>4589145</wp:posOffset>
              </wp:positionV>
              <wp:extent cx="10754360" cy="359410"/>
              <wp:effectExtent l="0" t="3175" r="5715" b="5715"/>
              <wp:wrapNone/>
              <wp:docPr id="1510539166" name="Rectangle 1510539166"/>
              <wp:cNvGraphicFramePr/>
              <a:graphic xmlns:a="http://schemas.openxmlformats.org/drawingml/2006/main">
                <a:graphicData uri="http://schemas.microsoft.com/office/word/2010/wordprocessingShape">
                  <wps:wsp>
                    <wps:cNvSpPr/>
                    <wps:spPr>
                      <a:xfrm rot="5400000">
                        <a:off x="0" y="0"/>
                        <a:ext cx="10754360"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816EA" id="Rectangle 1510539166" o:spid="_x0000_s1026" style="position:absolute;margin-left:-444.55pt;margin-top:361.35pt;width:846.8pt;height:28.3pt;rotation:9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" fillcolor="#008796" stroked="f" strokeweight="1pt"/>
          </w:pict>
        </mc:Fallback>
      </mc:AlternateContent>
    </w:r>
    <w:r w:rsidR="007A7BE0">
      <w:rPr>
        <w:noProof/>
      </w:rPr>
      <w:drawing>
        <wp:anchor distT="0" distB="0" distL="114300" distR="114300" simplePos="0" relativeHeight="251660289" behindDoc="0" locked="0" layoutInCell="1" allowOverlap="1" wp14:anchorId="72BAD4D2" wp14:editId="39A39A2B">
          <wp:simplePos x="0" y="0"/>
          <wp:positionH relativeFrom="column">
            <wp:posOffset>4225925</wp:posOffset>
          </wp:positionH>
          <wp:positionV relativeFrom="paragraph">
            <wp:posOffset>-149225</wp:posOffset>
          </wp:positionV>
          <wp:extent cx="2535555" cy="632460"/>
          <wp:effectExtent l="0" t="0" r="4445" b="2540"/>
          <wp:wrapNone/>
          <wp:docPr id="1110825764" name="Picture 11108257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45"/>
    <w:rsid w:val="00011F4C"/>
    <w:rsid w:val="00023A1D"/>
    <w:rsid w:val="00045D9C"/>
    <w:rsid w:val="00064DC1"/>
    <w:rsid w:val="000C6E1C"/>
    <w:rsid w:val="000E3B9C"/>
    <w:rsid w:val="0017540B"/>
    <w:rsid w:val="001E2824"/>
    <w:rsid w:val="00211B24"/>
    <w:rsid w:val="00273564"/>
    <w:rsid w:val="00292667"/>
    <w:rsid w:val="00391F01"/>
    <w:rsid w:val="00420C3A"/>
    <w:rsid w:val="004A364B"/>
    <w:rsid w:val="004B30AF"/>
    <w:rsid w:val="005C3BD0"/>
    <w:rsid w:val="006043E2"/>
    <w:rsid w:val="00637D75"/>
    <w:rsid w:val="0064246E"/>
    <w:rsid w:val="00643E56"/>
    <w:rsid w:val="00644957"/>
    <w:rsid w:val="006564BE"/>
    <w:rsid w:val="006C084B"/>
    <w:rsid w:val="006C57D6"/>
    <w:rsid w:val="006D5567"/>
    <w:rsid w:val="006D7CC1"/>
    <w:rsid w:val="006E7205"/>
    <w:rsid w:val="006F1198"/>
    <w:rsid w:val="006F276C"/>
    <w:rsid w:val="00734EC0"/>
    <w:rsid w:val="007A7BE0"/>
    <w:rsid w:val="007E4EA3"/>
    <w:rsid w:val="00806C53"/>
    <w:rsid w:val="00830F68"/>
    <w:rsid w:val="008326A4"/>
    <w:rsid w:val="008416E5"/>
    <w:rsid w:val="00882D65"/>
    <w:rsid w:val="008A3B45"/>
    <w:rsid w:val="008E36FF"/>
    <w:rsid w:val="008E461A"/>
    <w:rsid w:val="00981D37"/>
    <w:rsid w:val="00992B8E"/>
    <w:rsid w:val="00A45DA9"/>
    <w:rsid w:val="00AD1F73"/>
    <w:rsid w:val="00AE5F48"/>
    <w:rsid w:val="00AF1785"/>
    <w:rsid w:val="00B03B56"/>
    <w:rsid w:val="00B350BA"/>
    <w:rsid w:val="00B466BE"/>
    <w:rsid w:val="00B73D5B"/>
    <w:rsid w:val="00BD06EC"/>
    <w:rsid w:val="00BE5187"/>
    <w:rsid w:val="00C97CF8"/>
    <w:rsid w:val="00D038CF"/>
    <w:rsid w:val="00D610CF"/>
    <w:rsid w:val="00E03ABA"/>
    <w:rsid w:val="00E12DD9"/>
    <w:rsid w:val="00E227ED"/>
    <w:rsid w:val="00E54070"/>
    <w:rsid w:val="00EA6DAA"/>
    <w:rsid w:val="00F2793B"/>
    <w:rsid w:val="00F45CF3"/>
    <w:rsid w:val="00F57823"/>
    <w:rsid w:val="00F6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45753"/>
  <w15:chartTrackingRefBased/>
  <w15:docId w15:val="{97FAB52F-9639-4ADE-AC96-77E616AF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74525\Downloads\Briefing%20Note%20Template%202024%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D6EA8680580E9548B667880C81ECE879" ma:contentTypeVersion="10" ma:contentTypeDescription="MKC Branded Word Template Document" ma:contentTypeScope="" ma:versionID="9892b5c7f0486ca6cb3bc27d676f3ea1">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D0E6451-7147-4C0D-97B6-9AC9E4F45FA4}">
  <ds:schemaRefs>
    <ds:schemaRef ds:uri="http://schemas.microsoft.com/sharepoint/v3/contenttype/forms"/>
  </ds:schemaRefs>
</ds:datastoreItem>
</file>

<file path=customXml/itemProps2.xml><?xml version="1.0" encoding="utf-8"?>
<ds:datastoreItem xmlns:ds="http://schemas.openxmlformats.org/officeDocument/2006/customXml" ds:itemID="{4060B687-D0A2-450C-B85A-8FCD61BDED6E}">
  <ds:schemaRefs>
    <ds:schemaRef ds:uri="http://schemas.microsoft.com/office/2006/metadata/properties"/>
    <ds:schemaRef ds:uri="http://schemas.microsoft.com/office/infopath/2007/PartnerControls"/>
    <ds:schemaRef ds:uri="b8652632-f1b5-4c71-ba22-4efebc9d6754"/>
    <ds:schemaRef ds:uri="eb7d08dc-c761-4aaf-a91f-bbb55a531384"/>
  </ds:schemaRefs>
</ds:datastoreItem>
</file>

<file path=customXml/itemProps3.xml><?xml version="1.0" encoding="utf-8"?>
<ds:datastoreItem xmlns:ds="http://schemas.openxmlformats.org/officeDocument/2006/customXml" ds:itemID="{7B8785E0-8AE2-4A33-9ED5-0ABA3A10FC0B}"/>
</file>

<file path=customXml/itemProps4.xml><?xml version="1.0" encoding="utf-8"?>
<ds:datastoreItem xmlns:ds="http://schemas.openxmlformats.org/officeDocument/2006/customXml" ds:itemID="{2F3A207A-4A85-4F86-9BF5-65837847F50E}"/>
</file>

<file path=docProps/app.xml><?xml version="1.0" encoding="utf-8"?>
<Properties xmlns="http://schemas.openxmlformats.org/officeDocument/2006/extended-properties" xmlns:vt="http://schemas.openxmlformats.org/officeDocument/2006/docPropsVTypes">
  <Template>Briefing Note Template 2024 (4)</Template>
  <TotalTime>102</TotalTime>
  <Pages>2</Pages>
  <Words>337</Words>
  <Characters>2498</Characters>
  <Application>Microsoft Office Word</Application>
  <DocSecurity>0</DocSecurity>
  <Lines>60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Carly</dc:creator>
  <cp:keywords/>
  <dc:description/>
  <cp:lastModifiedBy>Carly Murphy</cp:lastModifiedBy>
  <cp:revision>1</cp:revision>
  <cp:lastPrinted>2024-01-09T10:43:00Z</cp:lastPrinted>
  <dcterms:created xsi:type="dcterms:W3CDTF">2026-05-07T12:02:00Z</dcterms:created>
  <dcterms:modified xsi:type="dcterms:W3CDTF">2026-05-07T13:44:00Z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0x010100073DBBF460B4694388C550D7D3B1399900D6EA8680580E9548B667880C81ECE879</vt:lpwstr>
  </property>
</Properties>
</file>