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B425" w14:textId="77777777" w:rsidR="00E227ED" w:rsidRDefault="00E227ED" w:rsidP="00F45CF3">
      <w:pPr>
        <w:spacing w:after="0" w:line="240" w:lineRule="auto"/>
        <w:contextualSpacing/>
        <w:rPr>
          <w:sz w:val="24"/>
          <w:szCs w:val="24"/>
        </w:rPr>
      </w:pPr>
    </w:p>
    <w:p w14:paraId="7BC8DFAE" w14:textId="77777777" w:rsidR="00E12DD9" w:rsidRDefault="00E12DD9" w:rsidP="00E12DD9">
      <w:pPr>
        <w:spacing w:after="0" w:line="240" w:lineRule="auto"/>
        <w:ind w:left="283"/>
        <w:contextualSpacing/>
        <w:rPr>
          <w:sz w:val="24"/>
          <w:szCs w:val="24"/>
        </w:rPr>
      </w:pPr>
    </w:p>
    <w:p w14:paraId="643A1A28" w14:textId="77777777" w:rsidR="007E4EA3" w:rsidRDefault="007E4EA3" w:rsidP="00E12DD9">
      <w:pPr>
        <w:spacing w:after="0" w:line="240" w:lineRule="auto"/>
        <w:ind w:left="283"/>
        <w:contextualSpacing/>
        <w:rPr>
          <w:sz w:val="24"/>
          <w:szCs w:val="24"/>
        </w:rPr>
      </w:pPr>
    </w:p>
    <w:p w14:paraId="240A6BCA" w14:textId="77777777" w:rsidR="004B30AF" w:rsidRPr="00D038CF" w:rsidRDefault="004B30AF" w:rsidP="00E12DD9">
      <w:pPr>
        <w:spacing w:after="0" w:line="240" w:lineRule="auto"/>
        <w:ind w:left="283"/>
        <w:contextualSpacing/>
        <w:rPr>
          <w:sz w:val="32"/>
          <w:szCs w:val="32"/>
        </w:rPr>
      </w:pPr>
    </w:p>
    <w:p w14:paraId="315E8FB3" w14:textId="00506360" w:rsidR="0017540B" w:rsidRPr="00D038CF" w:rsidRDefault="0045731F" w:rsidP="0045731F">
      <w:pPr>
        <w:spacing w:after="0" w:line="240" w:lineRule="auto"/>
        <w:ind w:left="567"/>
        <w:jc w:val="center"/>
        <w:rPr>
          <w:rFonts w:ascii="Amasis MT Pro Black" w:hAnsi="Amasis MT Pro Black"/>
          <w:b/>
          <w:bCs/>
          <w:color w:val="D46F63"/>
          <w:sz w:val="48"/>
          <w:szCs w:val="48"/>
        </w:rPr>
      </w:pPr>
      <w:r w:rsidRPr="0045731F">
        <w:rPr>
          <w:rFonts w:ascii="Amasis MT Pro Black" w:hAnsi="Amasis MT Pro Black"/>
          <w:b/>
          <w:bCs/>
          <w:color w:val="008796"/>
          <w:sz w:val="48"/>
          <w:szCs w:val="48"/>
        </w:rPr>
        <w:t>‘Promoting Reintegration and Reducing Exclusions’ (PRRE)</w:t>
      </w:r>
      <w:r>
        <w:rPr>
          <w:rFonts w:ascii="Amasis MT Pro Black" w:hAnsi="Amasis MT Pro Black"/>
          <w:b/>
          <w:bCs/>
          <w:color w:val="008796"/>
          <w:sz w:val="48"/>
          <w:szCs w:val="48"/>
        </w:rPr>
        <w:t xml:space="preserve"> </w:t>
      </w:r>
      <w:r w:rsidRPr="0045731F">
        <w:rPr>
          <w:rFonts w:ascii="Amasis MT Pro Black" w:hAnsi="Amasis MT Pro Black"/>
          <w:b/>
          <w:bCs/>
          <w:color w:val="008796"/>
          <w:sz w:val="48"/>
          <w:szCs w:val="48"/>
        </w:rPr>
        <w:t>Service Level Agreement</w:t>
      </w:r>
    </w:p>
    <w:p w14:paraId="13BBA1E4" w14:textId="77777777" w:rsidR="00AE5F48" w:rsidRPr="00AE5F48" w:rsidRDefault="00AE5F48" w:rsidP="00734EC0">
      <w:pPr>
        <w:spacing w:after="0" w:line="240" w:lineRule="auto"/>
        <w:ind w:left="567"/>
        <w:rPr>
          <w:rFonts w:ascii="Amasis MT Pro Black" w:hAnsi="Amasis MT Pro Black"/>
          <w:b/>
          <w:bCs/>
          <w:color w:val="D46F63"/>
          <w:sz w:val="32"/>
          <w:szCs w:val="32"/>
        </w:rPr>
      </w:pPr>
    </w:p>
    <w:p w14:paraId="203E75D5" w14:textId="77777777" w:rsidR="00E03ABA" w:rsidRPr="00734EC0" w:rsidRDefault="00E03ABA" w:rsidP="006D5567">
      <w:pPr>
        <w:spacing w:after="360" w:line="240" w:lineRule="auto"/>
        <w:ind w:left="567"/>
        <w:contextualSpacing/>
        <w:rPr>
          <w:rFonts w:ascii="Amasis MT Std Black" w:hAnsi="Amasis MT Std Black"/>
          <w:sz w:val="24"/>
          <w:szCs w:val="24"/>
        </w:rPr>
      </w:pPr>
    </w:p>
    <w:p w14:paraId="6BED2162" w14:textId="77777777" w:rsidR="0045731F" w:rsidRPr="0045731F" w:rsidRDefault="0045731F" w:rsidP="0045731F">
      <w:pPr>
        <w:spacing w:after="100" w:line="240" w:lineRule="auto"/>
        <w:ind w:firstLine="567"/>
        <w:contextualSpacing/>
        <w:rPr>
          <w:rFonts w:cstheme="minorHAnsi"/>
          <w:b/>
          <w:bCs/>
          <w:sz w:val="24"/>
          <w:szCs w:val="24"/>
        </w:rPr>
      </w:pPr>
    </w:p>
    <w:p w14:paraId="0326A098" w14:textId="77777777" w:rsidR="0045731F" w:rsidRPr="0045731F" w:rsidRDefault="0045731F" w:rsidP="0045731F">
      <w:pPr>
        <w:spacing w:after="100" w:line="240" w:lineRule="auto"/>
        <w:ind w:firstLine="567"/>
        <w:contextualSpacing/>
        <w:rPr>
          <w:rFonts w:cstheme="minorHAnsi"/>
          <w:b/>
          <w:bCs/>
          <w:sz w:val="24"/>
          <w:szCs w:val="24"/>
        </w:rPr>
      </w:pPr>
    </w:p>
    <w:p w14:paraId="7BEBA196" w14:textId="77777777" w:rsidR="0045731F" w:rsidRPr="001814C9" w:rsidRDefault="0045731F" w:rsidP="0045731F">
      <w:pPr>
        <w:spacing w:after="100" w:line="240" w:lineRule="auto"/>
        <w:ind w:firstLine="567"/>
        <w:contextualSpacing/>
        <w:rPr>
          <w:rFonts w:cstheme="minorHAnsi"/>
          <w:sz w:val="24"/>
          <w:szCs w:val="24"/>
        </w:rPr>
      </w:pPr>
      <w:r w:rsidRPr="001814C9">
        <w:rPr>
          <w:rFonts w:cstheme="minorHAnsi"/>
          <w:sz w:val="24"/>
          <w:szCs w:val="24"/>
        </w:rPr>
        <w:t>March 2026</w:t>
      </w:r>
    </w:p>
    <w:p w14:paraId="19A2E471" w14:textId="77777777" w:rsidR="0045731F" w:rsidRPr="001814C9" w:rsidRDefault="0045731F" w:rsidP="0045731F">
      <w:pPr>
        <w:spacing w:after="100" w:line="240" w:lineRule="auto"/>
        <w:ind w:firstLine="567"/>
        <w:contextualSpacing/>
        <w:rPr>
          <w:rFonts w:cstheme="minorHAnsi"/>
          <w:sz w:val="24"/>
          <w:szCs w:val="24"/>
        </w:rPr>
      </w:pPr>
    </w:p>
    <w:p w14:paraId="192291A7" w14:textId="77777777" w:rsidR="0045731F" w:rsidRPr="001814C9" w:rsidRDefault="0045731F" w:rsidP="0045731F">
      <w:pPr>
        <w:spacing w:after="100" w:line="240" w:lineRule="auto"/>
        <w:ind w:firstLine="567"/>
        <w:contextualSpacing/>
        <w:rPr>
          <w:rFonts w:cstheme="minorHAnsi"/>
          <w:sz w:val="24"/>
          <w:szCs w:val="24"/>
        </w:rPr>
      </w:pPr>
      <w:r w:rsidRPr="001814C9">
        <w:rPr>
          <w:rFonts w:cstheme="minorHAnsi"/>
          <w:sz w:val="24"/>
          <w:szCs w:val="24"/>
        </w:rPr>
        <w:t xml:space="preserve">Next review date: March 2028 </w:t>
      </w:r>
    </w:p>
    <w:p w14:paraId="5E3A7BE6" w14:textId="77777777" w:rsidR="0045731F" w:rsidRPr="0045731F" w:rsidRDefault="0045731F" w:rsidP="0045731F">
      <w:pPr>
        <w:spacing w:after="100" w:line="240" w:lineRule="auto"/>
        <w:ind w:firstLine="567"/>
        <w:contextualSpacing/>
        <w:rPr>
          <w:rFonts w:cstheme="minorHAnsi"/>
          <w:b/>
          <w:bCs/>
          <w:sz w:val="24"/>
          <w:szCs w:val="24"/>
        </w:rPr>
      </w:pPr>
    </w:p>
    <w:p w14:paraId="04B0044B" w14:textId="77777777" w:rsidR="0045731F" w:rsidRPr="0045731F" w:rsidRDefault="0045731F" w:rsidP="0045731F">
      <w:pPr>
        <w:spacing w:after="100" w:line="240" w:lineRule="auto"/>
        <w:contextualSpacing/>
        <w:rPr>
          <w:rFonts w:cstheme="minorHAnsi"/>
          <w:color w:val="66BDCC"/>
          <w:sz w:val="32"/>
          <w:szCs w:val="32"/>
        </w:rPr>
      </w:pPr>
      <w:r w:rsidRPr="0045731F">
        <w:rPr>
          <w:rFonts w:cstheme="minorHAnsi"/>
          <w:color w:val="66BDCC"/>
          <w:sz w:val="32"/>
          <w:szCs w:val="32"/>
        </w:rPr>
        <w:t>Context</w:t>
      </w:r>
    </w:p>
    <w:p w14:paraId="6FA16DA3" w14:textId="77777777" w:rsidR="0045731F" w:rsidRPr="0045731F" w:rsidRDefault="0045731F" w:rsidP="0045731F">
      <w:pPr>
        <w:spacing w:after="100" w:line="240" w:lineRule="auto"/>
        <w:ind w:firstLine="567"/>
        <w:contextualSpacing/>
        <w:rPr>
          <w:rFonts w:cstheme="minorHAnsi"/>
          <w:b/>
          <w:bCs/>
          <w:sz w:val="24"/>
          <w:szCs w:val="24"/>
        </w:rPr>
      </w:pPr>
    </w:p>
    <w:p w14:paraId="1EF7EF7E" w14:textId="77777777" w:rsidR="0045731F" w:rsidRPr="0045731F" w:rsidRDefault="0045731F" w:rsidP="0045731F">
      <w:pPr>
        <w:spacing w:after="100" w:line="240" w:lineRule="auto"/>
        <w:contextualSpacing/>
        <w:rPr>
          <w:rFonts w:cstheme="minorHAnsi"/>
          <w:sz w:val="24"/>
          <w:szCs w:val="24"/>
        </w:rPr>
      </w:pPr>
      <w:proofErr w:type="spellStart"/>
      <w:r w:rsidRPr="0045731F">
        <w:rPr>
          <w:rFonts w:cstheme="minorHAnsi"/>
          <w:sz w:val="24"/>
          <w:szCs w:val="24"/>
        </w:rPr>
        <w:t>i</w:t>
      </w:r>
      <w:proofErr w:type="spellEnd"/>
      <w:r w:rsidRPr="0045731F">
        <w:rPr>
          <w:rFonts w:cstheme="minorHAnsi"/>
          <w:sz w:val="24"/>
          <w:szCs w:val="24"/>
        </w:rPr>
        <w:t>.</w:t>
      </w:r>
      <w:r w:rsidRPr="0045731F">
        <w:rPr>
          <w:rFonts w:cstheme="minorHAnsi"/>
          <w:sz w:val="24"/>
          <w:szCs w:val="24"/>
        </w:rPr>
        <w:tab/>
        <w:t>Milton Keynes Youth Justice Service (MKYJS) developed the Promoting Reintegration and Reducing Exclusions (PRRE) programme in response to significant evidence demonstrating that unidentified and unmet Speech, Language and Communication Needs (SLCN) are a major contributing factor to school exclusion, social vulnerability, and later involvement in the youth justice system. PRRE was designed as an early intervention model to address these needs proactively, reduce exclusions, and prevent children from entering criminal justice pathways.</w:t>
      </w:r>
    </w:p>
    <w:p w14:paraId="28AB7031"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ii.</w:t>
      </w:r>
      <w:r w:rsidRPr="0045731F">
        <w:rPr>
          <w:rFonts w:cstheme="minorHAnsi"/>
          <w:sz w:val="24"/>
          <w:szCs w:val="24"/>
        </w:rPr>
        <w:tab/>
        <w:t xml:space="preserve">A substantial body of research has shown that between 60–90% of young people who offend present with SLCN, with 61–79% of these needs going unrecognised until they </w:t>
      </w:r>
      <w:proofErr w:type="gramStart"/>
      <w:r w:rsidRPr="0045731F">
        <w:rPr>
          <w:rFonts w:cstheme="minorHAnsi"/>
          <w:sz w:val="24"/>
          <w:szCs w:val="24"/>
        </w:rPr>
        <w:t>come into contact with</w:t>
      </w:r>
      <w:proofErr w:type="gramEnd"/>
      <w:r w:rsidRPr="0045731F">
        <w:rPr>
          <w:rFonts w:cstheme="minorHAnsi"/>
          <w:sz w:val="24"/>
          <w:szCs w:val="24"/>
        </w:rPr>
        <w:t xml:space="preserve"> Youth Justice Services. This evidence, highlighted by the Royal College of Speech and Language Therapists, illustrates a national pattern of unmet need, demonstrating that children often struggle for years without formal identification or support. The impact of unidentified communication difficulties on a child’s education and behaviour is profound; as early as the first years of school, children with limited language abilities are more likely to experience frustration, behavioural issues, and difficulties engaging with learning. Research by Chow and Webley (2018) reinforced the strong association between low language levels and behavioural problems, while Bryan and Snow (2020) found that unmet communication needs often lead to complex emotional and behavioural developmental difficulties, increasing the likelihood of academic exclusion and subsequent contact with criminal justice agencies.</w:t>
      </w:r>
    </w:p>
    <w:p w14:paraId="53FBE336"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iii.</w:t>
      </w:r>
      <w:r w:rsidRPr="0045731F">
        <w:rPr>
          <w:rFonts w:cstheme="minorHAnsi"/>
          <w:sz w:val="24"/>
          <w:szCs w:val="24"/>
        </w:rPr>
        <w:tab/>
        <w:t>This heightened vulnerability is reflected in national exclusion data. The Department for Education reported in 2018 that children with identified Special Educational Needs (SEN) made up 46.7% of all permanent exclusions and 44.9% of fixed period exclusions. Such stark disproportionality underscores a systemic challenge: without early intervention, children with SEN—including those whose SLCN may not yet be identified—are significantly more likely to be removed from mainstream education. Exclusion, in turn, is recognised as a key predictor of later criminal exploitation and offending.</w:t>
      </w:r>
    </w:p>
    <w:p w14:paraId="01487F8A"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iv.</w:t>
      </w:r>
      <w:r w:rsidRPr="0045731F">
        <w:rPr>
          <w:rFonts w:cstheme="minorHAnsi"/>
          <w:sz w:val="24"/>
          <w:szCs w:val="24"/>
        </w:rPr>
        <w:tab/>
        <w:t>The Royal College of Speech and Language Therapists has found that effective SLCN assessment and intervention plays a protective role, helping children better understand their vulnerabilities and reducing the risk of child criminal exploitation and child sexual exploitation. Such intervention also enhances engagement with rehabilitation, improves educational and employment outcomes, and strengthens self-esteem and identity—factors known to reduce the likelihood of offending.</w:t>
      </w:r>
    </w:p>
    <w:p w14:paraId="55517A58" w14:textId="77777777" w:rsidR="0045731F" w:rsidRPr="0045731F" w:rsidRDefault="0045731F" w:rsidP="0045731F">
      <w:pPr>
        <w:spacing w:after="100" w:line="240" w:lineRule="auto"/>
        <w:contextualSpacing/>
        <w:rPr>
          <w:rFonts w:cstheme="minorHAnsi"/>
          <w:b/>
          <w:bCs/>
          <w:sz w:val="24"/>
          <w:szCs w:val="24"/>
        </w:rPr>
      </w:pPr>
      <w:r w:rsidRPr="0045731F">
        <w:rPr>
          <w:rFonts w:cstheme="minorHAnsi"/>
          <w:sz w:val="24"/>
          <w:szCs w:val="24"/>
        </w:rPr>
        <w:lastRenderedPageBreak/>
        <w:t>v.</w:t>
      </w:r>
      <w:r w:rsidRPr="0045731F">
        <w:rPr>
          <w:rFonts w:cstheme="minorHAnsi"/>
          <w:sz w:val="24"/>
          <w:szCs w:val="24"/>
        </w:rPr>
        <w:tab/>
        <w:t>For Milton Keynes specifically, early intervention is not only evidence based but also aligned with wider multi agency priorities. MKYJS’s Early Support Project—of which PRRE forms a central component—has been recognised by NHS England as a model of effective practice within early intervention support, reinforcing the significance and quality of the local approach</w:t>
      </w:r>
      <w:r w:rsidRPr="0045731F">
        <w:rPr>
          <w:rFonts w:cstheme="minorHAnsi"/>
          <w:b/>
          <w:bCs/>
          <w:sz w:val="24"/>
          <w:szCs w:val="24"/>
        </w:rPr>
        <w:t xml:space="preserve">. </w:t>
      </w:r>
    </w:p>
    <w:p w14:paraId="31CF5810" w14:textId="77777777" w:rsidR="0045731F" w:rsidRPr="0045731F" w:rsidRDefault="0045731F" w:rsidP="0045731F">
      <w:pPr>
        <w:spacing w:after="100" w:line="240" w:lineRule="auto"/>
        <w:ind w:firstLine="567"/>
        <w:contextualSpacing/>
        <w:rPr>
          <w:rFonts w:cstheme="minorHAnsi"/>
          <w:b/>
          <w:bCs/>
          <w:sz w:val="24"/>
          <w:szCs w:val="24"/>
        </w:rPr>
      </w:pPr>
    </w:p>
    <w:p w14:paraId="7A7237CC" w14:textId="77777777" w:rsidR="0045731F" w:rsidRPr="0045731F" w:rsidRDefault="0045731F" w:rsidP="0045731F">
      <w:pPr>
        <w:spacing w:after="100" w:line="240" w:lineRule="auto"/>
        <w:ind w:firstLine="567"/>
        <w:contextualSpacing/>
        <w:rPr>
          <w:rFonts w:cstheme="minorHAnsi"/>
          <w:b/>
          <w:bCs/>
          <w:sz w:val="24"/>
          <w:szCs w:val="24"/>
        </w:rPr>
      </w:pPr>
    </w:p>
    <w:p w14:paraId="0AD39316" w14:textId="77777777" w:rsidR="0045731F" w:rsidRPr="0045731F" w:rsidRDefault="0045731F" w:rsidP="0045731F">
      <w:pPr>
        <w:spacing w:after="100" w:line="240" w:lineRule="auto"/>
        <w:ind w:firstLine="567"/>
        <w:contextualSpacing/>
        <w:rPr>
          <w:rFonts w:cstheme="minorHAnsi"/>
          <w:b/>
          <w:bCs/>
          <w:sz w:val="24"/>
          <w:szCs w:val="24"/>
        </w:rPr>
      </w:pPr>
    </w:p>
    <w:p w14:paraId="71BE5DC6" w14:textId="77777777" w:rsidR="0045731F" w:rsidRPr="0045731F" w:rsidRDefault="0045731F" w:rsidP="0045731F">
      <w:pPr>
        <w:spacing w:after="100" w:line="240" w:lineRule="auto"/>
        <w:contextualSpacing/>
        <w:rPr>
          <w:rFonts w:cstheme="minorHAnsi"/>
          <w:color w:val="66BDCC"/>
          <w:sz w:val="32"/>
          <w:szCs w:val="32"/>
        </w:rPr>
      </w:pPr>
      <w:r w:rsidRPr="0045731F">
        <w:rPr>
          <w:rFonts w:cstheme="minorHAnsi"/>
          <w:color w:val="66BDCC"/>
          <w:sz w:val="32"/>
          <w:szCs w:val="32"/>
        </w:rPr>
        <w:t xml:space="preserve">Project Description </w:t>
      </w:r>
    </w:p>
    <w:p w14:paraId="2F206A45" w14:textId="77777777" w:rsidR="0045731F" w:rsidRPr="0045731F" w:rsidRDefault="0045731F" w:rsidP="0045731F">
      <w:pPr>
        <w:spacing w:after="100" w:line="240" w:lineRule="auto"/>
        <w:ind w:firstLine="567"/>
        <w:contextualSpacing/>
        <w:rPr>
          <w:rFonts w:cstheme="minorHAnsi"/>
          <w:b/>
          <w:bCs/>
          <w:sz w:val="24"/>
          <w:szCs w:val="24"/>
        </w:rPr>
      </w:pPr>
    </w:p>
    <w:p w14:paraId="09999DEE" w14:textId="77777777" w:rsidR="0045731F" w:rsidRPr="0045731F" w:rsidRDefault="0045731F" w:rsidP="0045731F">
      <w:pPr>
        <w:spacing w:after="100" w:line="240" w:lineRule="auto"/>
        <w:contextualSpacing/>
        <w:rPr>
          <w:rFonts w:cstheme="minorHAnsi"/>
          <w:sz w:val="24"/>
          <w:szCs w:val="24"/>
        </w:rPr>
      </w:pPr>
      <w:proofErr w:type="spellStart"/>
      <w:r w:rsidRPr="0045731F">
        <w:rPr>
          <w:rFonts w:cstheme="minorHAnsi"/>
          <w:sz w:val="24"/>
          <w:szCs w:val="24"/>
        </w:rPr>
        <w:t>i</w:t>
      </w:r>
      <w:proofErr w:type="spellEnd"/>
      <w:r w:rsidRPr="0045731F">
        <w:rPr>
          <w:rFonts w:cstheme="minorHAnsi"/>
          <w:sz w:val="24"/>
          <w:szCs w:val="24"/>
        </w:rPr>
        <w:t>.</w:t>
      </w:r>
      <w:r w:rsidRPr="0045731F">
        <w:rPr>
          <w:rFonts w:cstheme="minorHAnsi"/>
          <w:sz w:val="24"/>
          <w:szCs w:val="24"/>
        </w:rPr>
        <w:tab/>
        <w:t xml:space="preserve">The Promoting Reintegration and Reducing Exclusions (PRRE) project has been operating since May 2019. It offers mainstream primary schools, secondary schools, further education providers and The Bridge Academy alternative provision, free Speech and Language Therapy assessments. The aim is to identify additional needs in young people who </w:t>
      </w:r>
      <w:proofErr w:type="gramStart"/>
      <w:r w:rsidRPr="0045731F">
        <w:rPr>
          <w:rFonts w:cstheme="minorHAnsi"/>
          <w:sz w:val="24"/>
          <w:szCs w:val="24"/>
        </w:rPr>
        <w:t>are considered to be</w:t>
      </w:r>
      <w:proofErr w:type="gramEnd"/>
      <w:r w:rsidRPr="0045731F">
        <w:rPr>
          <w:rFonts w:cstheme="minorHAnsi"/>
          <w:sz w:val="24"/>
          <w:szCs w:val="24"/>
        </w:rPr>
        <w:t xml:space="preserve"> at the greatest risk of fixed term / permanent exclusions and managed moves to alternative provisions. It is available for young people aged 10 to 18. </w:t>
      </w:r>
    </w:p>
    <w:p w14:paraId="654C642A"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ii.</w:t>
      </w:r>
      <w:r w:rsidRPr="0045731F">
        <w:rPr>
          <w:rFonts w:cstheme="minorHAnsi"/>
          <w:sz w:val="24"/>
          <w:szCs w:val="24"/>
        </w:rPr>
        <w:tab/>
        <w:t xml:space="preserve">This project aims to help education staff identify underlying and unrecognised Speech, Language and Communication Needs (SLCN) </w:t>
      </w:r>
      <w:proofErr w:type="gramStart"/>
      <w:r w:rsidRPr="0045731F">
        <w:rPr>
          <w:rFonts w:cstheme="minorHAnsi"/>
          <w:sz w:val="24"/>
          <w:szCs w:val="24"/>
        </w:rPr>
        <w:t>in order to</w:t>
      </w:r>
      <w:proofErr w:type="gramEnd"/>
      <w:r w:rsidRPr="0045731F">
        <w:rPr>
          <w:rFonts w:cstheme="minorHAnsi"/>
          <w:sz w:val="24"/>
          <w:szCs w:val="24"/>
        </w:rPr>
        <w:t xml:space="preserve"> engage with young people in the most effective way. Guidance and training </w:t>
      </w:r>
      <w:proofErr w:type="gramStart"/>
      <w:r w:rsidRPr="0045731F">
        <w:rPr>
          <w:rFonts w:cstheme="minorHAnsi"/>
          <w:sz w:val="24"/>
          <w:szCs w:val="24"/>
        </w:rPr>
        <w:t>is</w:t>
      </w:r>
      <w:proofErr w:type="gramEnd"/>
      <w:r w:rsidRPr="0045731F">
        <w:rPr>
          <w:rFonts w:cstheme="minorHAnsi"/>
          <w:sz w:val="24"/>
          <w:szCs w:val="24"/>
        </w:rPr>
        <w:t xml:space="preserve"> also offered to staff to help prevent young people being excluded and / or placed on a managed move to an alternative provision.</w:t>
      </w:r>
    </w:p>
    <w:p w14:paraId="3EAB7BA5"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iii.</w:t>
      </w:r>
      <w:r w:rsidRPr="0045731F">
        <w:rPr>
          <w:rFonts w:cstheme="minorHAnsi"/>
          <w:sz w:val="24"/>
          <w:szCs w:val="24"/>
        </w:rPr>
        <w:tab/>
        <w:t xml:space="preserve">This service is delivered by Speech and Language Therapists (SLTs) working as part of Milton Keynes Youth Justice Support Service. </w:t>
      </w:r>
    </w:p>
    <w:p w14:paraId="53B3415B"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iv.</w:t>
      </w:r>
      <w:r w:rsidRPr="0045731F">
        <w:rPr>
          <w:rFonts w:cstheme="minorHAnsi"/>
          <w:sz w:val="24"/>
          <w:szCs w:val="24"/>
        </w:rPr>
        <w:tab/>
        <w:t xml:space="preserve">This project was initially funded by Milton Keynes Justice Service (YJS), the Early Intervention Youth Fund (EIYF), the Office of the Police and Crime Commissioner for Thames Valley and NHS England.  </w:t>
      </w:r>
    </w:p>
    <w:p w14:paraId="1EDF26CA" w14:textId="77777777" w:rsidR="0045731F" w:rsidRPr="0045731F" w:rsidRDefault="0045731F" w:rsidP="0045731F">
      <w:pPr>
        <w:spacing w:after="100" w:line="240" w:lineRule="auto"/>
        <w:ind w:firstLine="567"/>
        <w:contextualSpacing/>
        <w:rPr>
          <w:rFonts w:cstheme="minorHAnsi"/>
          <w:b/>
          <w:bCs/>
          <w:sz w:val="24"/>
          <w:szCs w:val="24"/>
        </w:rPr>
      </w:pPr>
    </w:p>
    <w:p w14:paraId="71DFC7FB" w14:textId="77777777" w:rsidR="0045731F" w:rsidRPr="0045731F" w:rsidRDefault="0045731F" w:rsidP="0045731F">
      <w:pPr>
        <w:spacing w:after="100" w:line="240" w:lineRule="auto"/>
        <w:contextualSpacing/>
        <w:rPr>
          <w:rFonts w:cstheme="minorHAnsi"/>
          <w:color w:val="66BDCC"/>
          <w:sz w:val="32"/>
          <w:szCs w:val="32"/>
        </w:rPr>
      </w:pPr>
      <w:r w:rsidRPr="0045731F">
        <w:rPr>
          <w:rFonts w:cstheme="minorHAnsi"/>
          <w:color w:val="66BDCC"/>
          <w:sz w:val="32"/>
          <w:szCs w:val="32"/>
        </w:rPr>
        <w:t>Service Offer</w:t>
      </w:r>
    </w:p>
    <w:p w14:paraId="3107D5A8" w14:textId="77777777" w:rsidR="0045731F" w:rsidRPr="0045731F" w:rsidRDefault="0045731F" w:rsidP="0045731F">
      <w:pPr>
        <w:spacing w:after="100" w:line="240" w:lineRule="auto"/>
        <w:ind w:firstLine="567"/>
        <w:contextualSpacing/>
        <w:rPr>
          <w:rFonts w:cstheme="minorHAnsi"/>
          <w:b/>
          <w:bCs/>
          <w:sz w:val="24"/>
          <w:szCs w:val="24"/>
        </w:rPr>
      </w:pPr>
    </w:p>
    <w:p w14:paraId="149C500C" w14:textId="77777777" w:rsidR="0045731F" w:rsidRPr="0045731F" w:rsidRDefault="0045731F" w:rsidP="0045731F">
      <w:pPr>
        <w:spacing w:after="100" w:line="240" w:lineRule="auto"/>
        <w:contextualSpacing/>
        <w:rPr>
          <w:rFonts w:cstheme="minorHAnsi"/>
          <w:color w:val="66BDCC"/>
          <w:sz w:val="24"/>
          <w:szCs w:val="24"/>
        </w:rPr>
      </w:pPr>
      <w:r w:rsidRPr="0045731F">
        <w:rPr>
          <w:rFonts w:cstheme="minorHAnsi"/>
          <w:color w:val="66BDCC"/>
          <w:sz w:val="24"/>
          <w:szCs w:val="24"/>
        </w:rPr>
        <w:t>Expectations of the Project</w:t>
      </w:r>
    </w:p>
    <w:p w14:paraId="4BB790CF" w14:textId="77777777" w:rsidR="0045731F" w:rsidRPr="0045731F" w:rsidRDefault="0045731F" w:rsidP="0045731F">
      <w:pPr>
        <w:spacing w:after="100" w:line="240" w:lineRule="auto"/>
        <w:contextualSpacing/>
        <w:rPr>
          <w:rFonts w:cstheme="minorHAnsi"/>
          <w:sz w:val="24"/>
          <w:szCs w:val="24"/>
        </w:rPr>
      </w:pPr>
      <w:proofErr w:type="spellStart"/>
      <w:r w:rsidRPr="0045731F">
        <w:rPr>
          <w:rFonts w:cstheme="minorHAnsi"/>
          <w:sz w:val="24"/>
          <w:szCs w:val="24"/>
        </w:rPr>
        <w:t>i</w:t>
      </w:r>
      <w:proofErr w:type="spellEnd"/>
      <w:r w:rsidRPr="0045731F">
        <w:rPr>
          <w:rFonts w:cstheme="minorHAnsi"/>
          <w:sz w:val="24"/>
          <w:szCs w:val="24"/>
        </w:rPr>
        <w:t>.</w:t>
      </w:r>
      <w:r w:rsidRPr="0045731F">
        <w:rPr>
          <w:rFonts w:cstheme="minorHAnsi"/>
          <w:sz w:val="24"/>
          <w:szCs w:val="24"/>
        </w:rPr>
        <w:tab/>
        <w:t xml:space="preserve">A one-to-one assessment will be completed by a qualified Speech and Language Therapist using a range of formal and informal assessment resources. </w:t>
      </w:r>
    </w:p>
    <w:p w14:paraId="5C3B34BB"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ii.</w:t>
      </w:r>
      <w:r w:rsidRPr="0045731F">
        <w:rPr>
          <w:rFonts w:cstheme="minorHAnsi"/>
          <w:sz w:val="24"/>
          <w:szCs w:val="24"/>
        </w:rPr>
        <w:tab/>
        <w:t xml:space="preserve">Written feedback will be submitted via a report and will include a summary of the young person’s needs and recommendations to manage any identified Speech, Language and Communication Needs (SLCN).  The SLTs will provide verbal and written feedback to the Single Point of Contact (SPOC) or designated staff member at the setting. Parents / Carers will be invited to these meetings, and it will be the responsibility of the school to arrange these. </w:t>
      </w:r>
    </w:p>
    <w:p w14:paraId="6662DA79"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iii.</w:t>
      </w:r>
      <w:r w:rsidRPr="0045731F">
        <w:rPr>
          <w:rFonts w:cstheme="minorHAnsi"/>
          <w:sz w:val="24"/>
          <w:szCs w:val="24"/>
        </w:rPr>
        <w:tab/>
        <w:t>The SLTs will recommend additional resources that can be used by the setting to meet the needs of young people. This will include suggestions for strategies and interventions that can be used by key adults supporting the child within both learning and home environments.</w:t>
      </w:r>
    </w:p>
    <w:p w14:paraId="79644D6A"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iv.</w:t>
      </w:r>
      <w:r w:rsidRPr="0045731F">
        <w:rPr>
          <w:rFonts w:cstheme="minorHAnsi"/>
          <w:sz w:val="24"/>
          <w:szCs w:val="24"/>
        </w:rPr>
        <w:tab/>
        <w:t>SLT’s will discuss and make onward referrals locally, such as for ASC and ADHD assessment, where need is identified during assessment.</w:t>
      </w:r>
    </w:p>
    <w:p w14:paraId="17FAC635"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v.</w:t>
      </w:r>
      <w:r w:rsidRPr="0045731F">
        <w:rPr>
          <w:rFonts w:cstheme="minorHAnsi"/>
          <w:sz w:val="24"/>
          <w:szCs w:val="24"/>
        </w:rPr>
        <w:tab/>
        <w:t xml:space="preserve">Free training will be offered to all settings taking part in the project. Training will be delivered by the YJS SLTs. The training will be tailored to meet the needs of the school / young people. </w:t>
      </w:r>
    </w:p>
    <w:p w14:paraId="0A92ABE9"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vi.</w:t>
      </w:r>
      <w:r w:rsidRPr="0045731F">
        <w:rPr>
          <w:rFonts w:cstheme="minorHAnsi"/>
          <w:sz w:val="24"/>
          <w:szCs w:val="24"/>
        </w:rPr>
        <w:tab/>
        <w:t xml:space="preserve">The SLTs will comply with all safeguarding, child protection and health and safety procedures. The SLTs are employed by the NHS and complete annual training on Safeguarding Children. They hold an enhanced DBS which is renewed annually. </w:t>
      </w:r>
    </w:p>
    <w:p w14:paraId="37D9B627"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vii.</w:t>
      </w:r>
      <w:r w:rsidRPr="0045731F">
        <w:rPr>
          <w:rFonts w:cstheme="minorHAnsi"/>
          <w:sz w:val="24"/>
          <w:szCs w:val="24"/>
        </w:rPr>
        <w:tab/>
        <w:t xml:space="preserve">In line with our duties surrounding the safeguarding of young people, should any concerns be raised within a one-to-one session with a young person, the agreed process is that the Speech and Language Therapists will verbally report concerns to the SPOC at the setting (or another appropriate member of staff in their absence), followed up with an email, as well as informing the ESP Coordinator and </w:t>
      </w:r>
      <w:r w:rsidRPr="0045731F">
        <w:rPr>
          <w:rFonts w:cstheme="minorHAnsi"/>
          <w:sz w:val="24"/>
          <w:szCs w:val="24"/>
        </w:rPr>
        <w:lastRenderedPageBreak/>
        <w:t xml:space="preserve">Milton Keynes YJSS Designated Safeguarding Lead (DSL)/ Deputy Lead so that further advice and guidance can be sought. This could include completion of a Referral to Children Social Care where appropriate. </w:t>
      </w:r>
    </w:p>
    <w:p w14:paraId="362DCBF6" w14:textId="77777777" w:rsidR="0045731F" w:rsidRPr="0045731F" w:rsidRDefault="0045731F" w:rsidP="0045731F">
      <w:pPr>
        <w:spacing w:after="100" w:line="240" w:lineRule="auto"/>
        <w:ind w:firstLine="567"/>
        <w:contextualSpacing/>
        <w:rPr>
          <w:rFonts w:cstheme="minorHAnsi"/>
          <w:b/>
          <w:bCs/>
          <w:sz w:val="24"/>
          <w:szCs w:val="24"/>
        </w:rPr>
      </w:pPr>
    </w:p>
    <w:p w14:paraId="15F67563" w14:textId="77777777" w:rsidR="0045731F" w:rsidRPr="0045731F" w:rsidRDefault="0045731F" w:rsidP="0045731F">
      <w:pPr>
        <w:spacing w:after="100" w:line="240" w:lineRule="auto"/>
        <w:ind w:firstLine="567"/>
        <w:contextualSpacing/>
        <w:rPr>
          <w:rFonts w:cstheme="minorHAnsi"/>
          <w:b/>
          <w:bCs/>
          <w:sz w:val="24"/>
          <w:szCs w:val="24"/>
        </w:rPr>
      </w:pPr>
    </w:p>
    <w:p w14:paraId="2B02025A" w14:textId="77777777" w:rsidR="0045731F" w:rsidRPr="0045731F" w:rsidRDefault="0045731F" w:rsidP="0045731F">
      <w:pPr>
        <w:spacing w:after="100" w:line="240" w:lineRule="auto"/>
        <w:ind w:firstLine="567"/>
        <w:contextualSpacing/>
        <w:rPr>
          <w:rFonts w:cstheme="minorHAnsi"/>
          <w:b/>
          <w:bCs/>
          <w:sz w:val="24"/>
          <w:szCs w:val="24"/>
        </w:rPr>
      </w:pPr>
    </w:p>
    <w:p w14:paraId="0720F0B2" w14:textId="77777777" w:rsidR="0045731F" w:rsidRPr="0045731F" w:rsidRDefault="0045731F" w:rsidP="0045731F">
      <w:pPr>
        <w:spacing w:after="100" w:line="240" w:lineRule="auto"/>
        <w:contextualSpacing/>
        <w:rPr>
          <w:rFonts w:cstheme="minorHAnsi"/>
          <w:sz w:val="24"/>
          <w:szCs w:val="24"/>
        </w:rPr>
      </w:pPr>
      <w:r w:rsidRPr="0045731F">
        <w:rPr>
          <w:rFonts w:cstheme="minorHAnsi"/>
          <w:color w:val="66BDCC"/>
          <w:sz w:val="24"/>
          <w:szCs w:val="24"/>
        </w:rPr>
        <w:t xml:space="preserve">Expectations of the School </w:t>
      </w:r>
    </w:p>
    <w:p w14:paraId="15BE8068" w14:textId="77777777" w:rsidR="0045731F" w:rsidRPr="0045731F" w:rsidRDefault="0045731F" w:rsidP="0045731F">
      <w:pPr>
        <w:spacing w:after="100" w:line="240" w:lineRule="auto"/>
        <w:contextualSpacing/>
        <w:rPr>
          <w:rFonts w:cstheme="minorHAnsi"/>
          <w:sz w:val="24"/>
          <w:szCs w:val="24"/>
        </w:rPr>
      </w:pPr>
      <w:proofErr w:type="spellStart"/>
      <w:r w:rsidRPr="0045731F">
        <w:rPr>
          <w:rFonts w:cstheme="minorHAnsi"/>
          <w:sz w:val="24"/>
          <w:szCs w:val="24"/>
        </w:rPr>
        <w:t>i</w:t>
      </w:r>
      <w:proofErr w:type="spellEnd"/>
      <w:r w:rsidRPr="0045731F">
        <w:rPr>
          <w:rFonts w:cstheme="minorHAnsi"/>
          <w:sz w:val="24"/>
          <w:szCs w:val="24"/>
        </w:rPr>
        <w:t>.</w:t>
      </w:r>
      <w:r w:rsidRPr="0045731F">
        <w:rPr>
          <w:rFonts w:cstheme="minorHAnsi"/>
          <w:sz w:val="24"/>
          <w:szCs w:val="24"/>
        </w:rPr>
        <w:tab/>
        <w:t xml:space="preserve">School will review and sign the Service Level Agreement annually, identifying the member of staff to be the Single Point of Contact (SPOC) and the SENCO (if different).   </w:t>
      </w:r>
    </w:p>
    <w:p w14:paraId="4850E1E9"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ii.</w:t>
      </w:r>
      <w:r w:rsidRPr="0045731F">
        <w:rPr>
          <w:rFonts w:cstheme="minorHAnsi"/>
          <w:sz w:val="24"/>
          <w:szCs w:val="24"/>
        </w:rPr>
        <w:tab/>
        <w:t xml:space="preserve">It is expected that an appropriate member of staff will complete the ‘PRRE Referral and Consent form’ for each young person. This includes discussing the referral with parents / carers and the student as well as collating their views. The referral should then be emailed to the Project Coordinator at </w:t>
      </w:r>
      <w:proofErr w:type="gramStart"/>
      <w:r w:rsidRPr="0045731F">
        <w:rPr>
          <w:rFonts w:cstheme="minorHAnsi"/>
          <w:sz w:val="24"/>
          <w:szCs w:val="24"/>
        </w:rPr>
        <w:t>PRRE@milton-keynes.gov.uk  who</w:t>
      </w:r>
      <w:proofErr w:type="gramEnd"/>
      <w:r w:rsidRPr="0045731F">
        <w:rPr>
          <w:rFonts w:cstheme="minorHAnsi"/>
          <w:sz w:val="24"/>
          <w:szCs w:val="24"/>
        </w:rPr>
        <w:t xml:space="preserve"> will screen the referral and allocate. The aim is to carry out the assessment within 1 term from the date of the referral.</w:t>
      </w:r>
    </w:p>
    <w:p w14:paraId="61F77019"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iii.</w:t>
      </w:r>
      <w:r w:rsidRPr="0045731F">
        <w:rPr>
          <w:rFonts w:cstheme="minorHAnsi"/>
          <w:sz w:val="24"/>
          <w:szCs w:val="24"/>
        </w:rPr>
        <w:tab/>
        <w:t xml:space="preserve">The PRRE Referral and Consent form (see attached) enables us to check background information and to tailor the assessment to the individual student. </w:t>
      </w:r>
    </w:p>
    <w:p w14:paraId="6C9461B8"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iv.</w:t>
      </w:r>
      <w:r w:rsidRPr="0045731F">
        <w:rPr>
          <w:rFonts w:cstheme="minorHAnsi"/>
          <w:sz w:val="24"/>
          <w:szCs w:val="24"/>
        </w:rPr>
        <w:tab/>
        <w:t xml:space="preserve">A signed consent form and agreement to share information must be gained from parent / carer.  Information will be shared by the SLTs with other health and education staff involved in supporting the young person. </w:t>
      </w:r>
    </w:p>
    <w:p w14:paraId="1375CC9A"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v.</w:t>
      </w:r>
      <w:r w:rsidRPr="0045731F">
        <w:rPr>
          <w:rFonts w:cstheme="minorHAnsi"/>
          <w:sz w:val="24"/>
          <w:szCs w:val="24"/>
        </w:rPr>
        <w:tab/>
        <w:t>Any significant information pertaining to the safeguarding or risk management of a young person is to be provided as soon as possible, to the PRRE Coordinator by email PRRE@milton-keynes.gov.uk to enable a risk assessment plan to be put in place whilst the project is working with the young person.</w:t>
      </w:r>
    </w:p>
    <w:p w14:paraId="2936F40F"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vi.</w:t>
      </w:r>
      <w:r w:rsidRPr="0045731F">
        <w:rPr>
          <w:rFonts w:cstheme="minorHAnsi"/>
          <w:sz w:val="24"/>
          <w:szCs w:val="24"/>
        </w:rPr>
        <w:tab/>
        <w:t xml:space="preserve">The school is expected to prepare the student for the assessment prior to the visit, by sharing the </w:t>
      </w:r>
      <w:proofErr w:type="gramStart"/>
      <w:r w:rsidRPr="0045731F">
        <w:rPr>
          <w:rFonts w:cstheme="minorHAnsi"/>
          <w:sz w:val="24"/>
          <w:szCs w:val="24"/>
        </w:rPr>
        <w:t>one page</w:t>
      </w:r>
      <w:proofErr w:type="gramEnd"/>
      <w:r w:rsidRPr="0045731F">
        <w:rPr>
          <w:rFonts w:cstheme="minorHAnsi"/>
          <w:sz w:val="24"/>
          <w:szCs w:val="24"/>
        </w:rPr>
        <w:t xml:space="preserve"> leaflet entitled Explaining the Communication Assessment provided by SLTs (see attached). The expectation is that the setting will have a conversation with the student prior to the assessment to explain the reasons for the communication assessment.</w:t>
      </w:r>
    </w:p>
    <w:p w14:paraId="3C3D9B32"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vii.</w:t>
      </w:r>
      <w:r w:rsidRPr="0045731F">
        <w:rPr>
          <w:rFonts w:cstheme="minorHAnsi"/>
          <w:sz w:val="24"/>
          <w:szCs w:val="24"/>
        </w:rPr>
        <w:tab/>
        <w:t xml:space="preserve">It is expected that there will be a SPOC or designated staff member available to liaise with the SLT whilst at the setting. The SPOC or a member of staff who knows the young person, will be required to initially greet the SLT and be available for a debrief. </w:t>
      </w:r>
    </w:p>
    <w:p w14:paraId="2277AC66"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viii.</w:t>
      </w:r>
      <w:r w:rsidRPr="0045731F">
        <w:rPr>
          <w:rFonts w:cstheme="minorHAnsi"/>
          <w:sz w:val="24"/>
          <w:szCs w:val="24"/>
        </w:rPr>
        <w:tab/>
        <w:t xml:space="preserve">The SLT will require a quiet room within the setting for about an hour per assessment, with access to a table and chairs. </w:t>
      </w:r>
    </w:p>
    <w:p w14:paraId="641D99B9"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ix.</w:t>
      </w:r>
      <w:r w:rsidRPr="0045731F">
        <w:rPr>
          <w:rFonts w:cstheme="minorHAnsi"/>
          <w:sz w:val="24"/>
          <w:szCs w:val="24"/>
        </w:rPr>
        <w:tab/>
        <w:t>Following the assessment, a detailed Communication Report will be provided by the SLT and sent to the SPOC and the SENCO. It is the responsibility of the SPOC or other key staff member, to send a copy of the report to the young person and parents / carers and to share and discuss the report as appropriate.</w:t>
      </w:r>
    </w:p>
    <w:p w14:paraId="5E9F31C9"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x.</w:t>
      </w:r>
      <w:r w:rsidRPr="0045731F">
        <w:rPr>
          <w:rFonts w:cstheme="minorHAnsi"/>
          <w:sz w:val="24"/>
          <w:szCs w:val="24"/>
        </w:rPr>
        <w:tab/>
        <w:t xml:space="preserve">Following receipt of the Communication Report, the SPOC will arrange for key adults, including parents / carers to meet the SLT to discuss an action plan. This may be face to face or on TEAMS. </w:t>
      </w:r>
    </w:p>
    <w:p w14:paraId="1C45D539" w14:textId="77777777" w:rsidR="0045731F" w:rsidRPr="0045731F" w:rsidRDefault="0045731F" w:rsidP="0045731F">
      <w:pPr>
        <w:spacing w:after="100" w:line="240" w:lineRule="auto"/>
        <w:ind w:firstLine="567"/>
        <w:contextualSpacing/>
        <w:rPr>
          <w:rFonts w:cstheme="minorHAnsi"/>
          <w:sz w:val="24"/>
          <w:szCs w:val="24"/>
        </w:rPr>
      </w:pPr>
    </w:p>
    <w:p w14:paraId="3E11A015" w14:textId="77777777" w:rsidR="0045731F" w:rsidRPr="0045731F" w:rsidRDefault="0045731F" w:rsidP="0045731F">
      <w:pPr>
        <w:spacing w:after="100" w:line="240" w:lineRule="auto"/>
        <w:contextualSpacing/>
        <w:rPr>
          <w:rFonts w:cstheme="minorHAnsi"/>
          <w:color w:val="66BDCC"/>
          <w:sz w:val="24"/>
          <w:szCs w:val="24"/>
        </w:rPr>
      </w:pPr>
      <w:r w:rsidRPr="0045731F">
        <w:rPr>
          <w:rFonts w:cstheme="minorHAnsi"/>
          <w:color w:val="66BDCC"/>
          <w:sz w:val="24"/>
          <w:szCs w:val="24"/>
        </w:rPr>
        <w:t>Aims</w:t>
      </w:r>
    </w:p>
    <w:p w14:paraId="45371E32" w14:textId="77777777" w:rsidR="0045731F" w:rsidRPr="0045731F" w:rsidRDefault="0045731F" w:rsidP="0045731F">
      <w:pPr>
        <w:spacing w:after="100" w:line="240" w:lineRule="auto"/>
        <w:ind w:firstLine="567"/>
        <w:contextualSpacing/>
        <w:rPr>
          <w:rFonts w:cstheme="minorHAnsi"/>
          <w:b/>
          <w:bCs/>
          <w:sz w:val="24"/>
          <w:szCs w:val="24"/>
        </w:rPr>
      </w:pPr>
    </w:p>
    <w:p w14:paraId="6E8E3276"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vi.</w:t>
      </w:r>
      <w:r w:rsidRPr="0045731F">
        <w:rPr>
          <w:rFonts w:cstheme="minorHAnsi"/>
          <w:sz w:val="24"/>
          <w:szCs w:val="24"/>
        </w:rPr>
        <w:tab/>
        <w:t xml:space="preserve">The identification of unmet and unrecognised Speech, Language and Communication Needs (SLCN) and Special Educational Needs and Disabilities (SEND) enables young people at greatest risk of exclusions to be provided with appropriate support so that they can remain in a setting on a full-time timetable, reducing the risk of young people being exploited or becoming involved in offending.  </w:t>
      </w:r>
    </w:p>
    <w:p w14:paraId="6032D1F3" w14:textId="77777777" w:rsidR="0045731F" w:rsidRPr="0045731F" w:rsidRDefault="0045731F" w:rsidP="0045731F">
      <w:pPr>
        <w:spacing w:after="100" w:line="240" w:lineRule="auto"/>
        <w:contextualSpacing/>
        <w:rPr>
          <w:rFonts w:cstheme="minorHAnsi"/>
          <w:sz w:val="24"/>
          <w:szCs w:val="24"/>
        </w:rPr>
      </w:pPr>
      <w:r w:rsidRPr="0045731F">
        <w:rPr>
          <w:rFonts w:cstheme="minorHAnsi"/>
          <w:sz w:val="24"/>
          <w:szCs w:val="24"/>
        </w:rPr>
        <w:t>vii.</w:t>
      </w:r>
      <w:r w:rsidRPr="0045731F">
        <w:rPr>
          <w:rFonts w:cstheme="minorHAnsi"/>
          <w:sz w:val="24"/>
          <w:szCs w:val="24"/>
        </w:rPr>
        <w:tab/>
        <w:t>This project seeks to achieve a reduction in;</w:t>
      </w:r>
    </w:p>
    <w:p w14:paraId="18AD4580" w14:textId="77777777" w:rsidR="0045731F" w:rsidRPr="0045731F" w:rsidRDefault="0045731F" w:rsidP="0045731F">
      <w:pPr>
        <w:spacing w:after="100" w:line="240" w:lineRule="auto"/>
        <w:ind w:firstLine="567"/>
        <w:contextualSpacing/>
        <w:rPr>
          <w:rFonts w:cstheme="minorHAnsi"/>
          <w:sz w:val="24"/>
          <w:szCs w:val="24"/>
        </w:rPr>
      </w:pPr>
      <w:r w:rsidRPr="0045731F">
        <w:rPr>
          <w:rFonts w:cstheme="minorHAnsi"/>
          <w:sz w:val="24"/>
          <w:szCs w:val="24"/>
        </w:rPr>
        <w:t>•</w:t>
      </w:r>
      <w:r w:rsidRPr="0045731F">
        <w:rPr>
          <w:rFonts w:cstheme="minorHAnsi"/>
          <w:sz w:val="24"/>
          <w:szCs w:val="24"/>
        </w:rPr>
        <w:tab/>
        <w:t>First Time Entrants into the Youth Justice System</w:t>
      </w:r>
    </w:p>
    <w:p w14:paraId="4A4FFA65" w14:textId="77777777" w:rsidR="0045731F" w:rsidRPr="0045731F" w:rsidRDefault="0045731F" w:rsidP="0045731F">
      <w:pPr>
        <w:spacing w:after="100" w:line="240" w:lineRule="auto"/>
        <w:ind w:firstLine="567"/>
        <w:contextualSpacing/>
        <w:rPr>
          <w:rFonts w:cstheme="minorHAnsi"/>
          <w:sz w:val="24"/>
          <w:szCs w:val="24"/>
        </w:rPr>
      </w:pPr>
      <w:r w:rsidRPr="0045731F">
        <w:rPr>
          <w:rFonts w:cstheme="minorHAnsi"/>
          <w:sz w:val="24"/>
          <w:szCs w:val="24"/>
        </w:rPr>
        <w:t>•</w:t>
      </w:r>
      <w:r w:rsidRPr="0045731F">
        <w:rPr>
          <w:rFonts w:cstheme="minorHAnsi"/>
          <w:sz w:val="24"/>
          <w:szCs w:val="24"/>
        </w:rPr>
        <w:tab/>
        <w:t>Children having permanent/ fixed term exclusions</w:t>
      </w:r>
    </w:p>
    <w:p w14:paraId="7945C5B0" w14:textId="77777777" w:rsidR="0045731F" w:rsidRPr="0045731F" w:rsidRDefault="0045731F" w:rsidP="0045731F">
      <w:pPr>
        <w:spacing w:after="100" w:line="240" w:lineRule="auto"/>
        <w:ind w:firstLine="567"/>
        <w:contextualSpacing/>
        <w:rPr>
          <w:rFonts w:cstheme="minorHAnsi"/>
          <w:sz w:val="24"/>
          <w:szCs w:val="24"/>
        </w:rPr>
      </w:pPr>
      <w:r w:rsidRPr="0045731F">
        <w:rPr>
          <w:rFonts w:cstheme="minorHAnsi"/>
          <w:sz w:val="24"/>
          <w:szCs w:val="24"/>
        </w:rPr>
        <w:t>•</w:t>
      </w:r>
      <w:r w:rsidRPr="0045731F">
        <w:rPr>
          <w:rFonts w:cstheme="minorHAnsi"/>
          <w:sz w:val="24"/>
          <w:szCs w:val="24"/>
        </w:rPr>
        <w:tab/>
        <w:t xml:space="preserve">The use of part-time timetables </w:t>
      </w:r>
    </w:p>
    <w:p w14:paraId="04BDD858" w14:textId="77777777" w:rsidR="0045731F" w:rsidRPr="0045731F" w:rsidRDefault="0045731F" w:rsidP="0045731F">
      <w:pPr>
        <w:spacing w:after="100" w:line="240" w:lineRule="auto"/>
        <w:ind w:firstLine="567"/>
        <w:contextualSpacing/>
        <w:rPr>
          <w:rFonts w:cstheme="minorHAnsi"/>
          <w:sz w:val="24"/>
          <w:szCs w:val="24"/>
        </w:rPr>
      </w:pPr>
      <w:r w:rsidRPr="0045731F">
        <w:rPr>
          <w:rFonts w:cstheme="minorHAnsi"/>
          <w:sz w:val="24"/>
          <w:szCs w:val="24"/>
        </w:rPr>
        <w:t>•</w:t>
      </w:r>
      <w:r w:rsidRPr="0045731F">
        <w:rPr>
          <w:rFonts w:cstheme="minorHAnsi"/>
          <w:sz w:val="24"/>
          <w:szCs w:val="24"/>
        </w:rPr>
        <w:tab/>
        <w:t xml:space="preserve">Serious Youth Violence </w:t>
      </w:r>
    </w:p>
    <w:p w14:paraId="02214E90" w14:textId="77777777" w:rsidR="0045731F" w:rsidRPr="0045731F" w:rsidRDefault="0045731F" w:rsidP="0045731F">
      <w:pPr>
        <w:spacing w:after="100" w:line="240" w:lineRule="auto"/>
        <w:ind w:firstLine="567"/>
        <w:contextualSpacing/>
        <w:rPr>
          <w:rFonts w:cstheme="minorHAnsi"/>
          <w:sz w:val="24"/>
          <w:szCs w:val="24"/>
        </w:rPr>
      </w:pPr>
    </w:p>
    <w:p w14:paraId="52CF8C54" w14:textId="77777777" w:rsidR="0045731F" w:rsidRPr="0045731F" w:rsidRDefault="0045731F" w:rsidP="0045731F">
      <w:pPr>
        <w:spacing w:after="100" w:line="240" w:lineRule="auto"/>
        <w:ind w:firstLine="567"/>
        <w:contextualSpacing/>
        <w:rPr>
          <w:rFonts w:cstheme="minorHAnsi"/>
          <w:sz w:val="24"/>
          <w:szCs w:val="24"/>
        </w:rPr>
      </w:pPr>
    </w:p>
    <w:p w14:paraId="7F475E30" w14:textId="77777777" w:rsidR="0045731F" w:rsidRPr="009626D0" w:rsidRDefault="0045731F" w:rsidP="009626D0">
      <w:pPr>
        <w:spacing w:after="100" w:line="240" w:lineRule="auto"/>
        <w:contextualSpacing/>
        <w:rPr>
          <w:rFonts w:cstheme="minorHAnsi"/>
          <w:color w:val="66BDCC"/>
          <w:sz w:val="32"/>
          <w:szCs w:val="32"/>
        </w:rPr>
      </w:pPr>
      <w:r w:rsidRPr="009626D0">
        <w:rPr>
          <w:rFonts w:cstheme="minorHAnsi"/>
          <w:color w:val="66BDCC"/>
          <w:sz w:val="32"/>
          <w:szCs w:val="32"/>
        </w:rPr>
        <w:lastRenderedPageBreak/>
        <w:t>Research</w:t>
      </w:r>
    </w:p>
    <w:p w14:paraId="6FF548F4" w14:textId="77777777" w:rsidR="0045731F" w:rsidRPr="0045731F" w:rsidRDefault="0045731F" w:rsidP="0045731F">
      <w:pPr>
        <w:spacing w:after="100" w:line="240" w:lineRule="auto"/>
        <w:ind w:firstLine="567"/>
        <w:contextualSpacing/>
        <w:rPr>
          <w:rFonts w:cstheme="minorHAnsi"/>
          <w:b/>
          <w:bCs/>
          <w:sz w:val="24"/>
          <w:szCs w:val="24"/>
        </w:rPr>
      </w:pPr>
    </w:p>
    <w:p w14:paraId="08A03E05"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viii.</w:t>
      </w:r>
      <w:r w:rsidRPr="009626D0">
        <w:rPr>
          <w:rFonts w:cstheme="minorHAnsi"/>
          <w:sz w:val="24"/>
          <w:szCs w:val="24"/>
        </w:rPr>
        <w:tab/>
        <w:t>In relation to Serious Youth Violence, research has indicated that a higher proportion of adult offenders had been persistently absent and/or excluded from school (MoJ, 2018).</w:t>
      </w:r>
    </w:p>
    <w:p w14:paraId="0677F3D4"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ix.</w:t>
      </w:r>
      <w:r w:rsidRPr="009626D0">
        <w:rPr>
          <w:rFonts w:cstheme="minorHAnsi"/>
          <w:sz w:val="24"/>
          <w:szCs w:val="24"/>
        </w:rPr>
        <w:tab/>
        <w:t xml:space="preserve">Research suggests that the incidence of persistent absence, fixed period and permanent exclusions from school, among those with knife possession offences, is greater than among all comparison groups (MoJ, 2018). </w:t>
      </w:r>
    </w:p>
    <w:p w14:paraId="42D1AD5C"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x.</w:t>
      </w:r>
      <w:r w:rsidRPr="009626D0">
        <w:rPr>
          <w:rFonts w:cstheme="minorHAnsi"/>
          <w:sz w:val="24"/>
          <w:szCs w:val="24"/>
        </w:rPr>
        <w:tab/>
        <w:t>2026 MoJ–DfE Linked Dataset Research, shows that Persistent absenteeism is strongly associated with later offending, including violent crime (ADR UK, 2026)</w:t>
      </w:r>
    </w:p>
    <w:p w14:paraId="00F475BF"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xi.</w:t>
      </w:r>
      <w:r w:rsidRPr="009626D0">
        <w:rPr>
          <w:rFonts w:cstheme="minorHAnsi"/>
          <w:sz w:val="24"/>
          <w:szCs w:val="24"/>
        </w:rPr>
        <w:tab/>
        <w:t>A study by the Youth Endowment Fund in 2025 found Children suspended or excluded from school are 2.5 times more likely to be involved in violence, and 4.5 times more likely to offend, than those not suspended or excluded.</w:t>
      </w:r>
    </w:p>
    <w:p w14:paraId="3D55D343"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xii.</w:t>
      </w:r>
      <w:r w:rsidRPr="009626D0">
        <w:rPr>
          <w:rFonts w:cstheme="minorHAnsi"/>
          <w:sz w:val="24"/>
          <w:szCs w:val="24"/>
        </w:rPr>
        <w:tab/>
        <w:t>Ministry of Justice Youth Knife Crime Evidence Packs (2024–2025) shows recent analysis links knife crime with social marginalisation, deprivation, and earlier vulnerabilities — areas where school absence is a known marker (MOJ).</w:t>
      </w:r>
    </w:p>
    <w:p w14:paraId="209697FF"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xiii.</w:t>
      </w:r>
      <w:r w:rsidRPr="009626D0">
        <w:rPr>
          <w:rFonts w:cstheme="minorHAnsi"/>
          <w:sz w:val="24"/>
          <w:szCs w:val="24"/>
        </w:rPr>
        <w:tab/>
        <w:t xml:space="preserve">Research analysed by the Institute for Public Policy Research has found that </w:t>
      </w:r>
      <w:proofErr w:type="gramStart"/>
      <w:r w:rsidRPr="009626D0">
        <w:rPr>
          <w:rFonts w:cstheme="minorHAnsi"/>
          <w:sz w:val="24"/>
          <w:szCs w:val="24"/>
        </w:rPr>
        <w:t>the majority of</w:t>
      </w:r>
      <w:proofErr w:type="gramEnd"/>
      <w:r w:rsidRPr="009626D0">
        <w:rPr>
          <w:rFonts w:cstheme="minorHAnsi"/>
          <w:sz w:val="24"/>
          <w:szCs w:val="24"/>
        </w:rPr>
        <w:t xml:space="preserve"> UK prisoners were excluded from school (Gill et al., 2017). </w:t>
      </w:r>
    </w:p>
    <w:p w14:paraId="4C51CABB"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xiv.</w:t>
      </w:r>
      <w:r w:rsidRPr="009626D0">
        <w:rPr>
          <w:rFonts w:cstheme="minorHAnsi"/>
          <w:sz w:val="24"/>
          <w:szCs w:val="24"/>
        </w:rPr>
        <w:tab/>
        <w:t>The Centre for Social Justice exclusion tracker for spring 2024 showed a 2.2% increase on spring 2023. (Centre for Social Justice, 2024). The DfE &amp; parliamentary briefing 2023/24 showed that pupils with SEN (without EHCP) are 6 times more likely to be permanently excluded (DFE, 2024)</w:t>
      </w:r>
    </w:p>
    <w:p w14:paraId="78DB5181"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xv.</w:t>
      </w:r>
      <w:r w:rsidRPr="009626D0">
        <w:rPr>
          <w:rFonts w:cstheme="minorHAnsi"/>
          <w:sz w:val="24"/>
          <w:szCs w:val="24"/>
        </w:rPr>
        <w:tab/>
        <w:t>A major research project (MoJ BOLD – September 2025) uses linked school and justice data to examine offending patterns among excluded children. This showed “Excluded school pupils are disproportionately represented in the adult prison population</w:t>
      </w:r>
      <w:proofErr w:type="gramStart"/>
      <w:r w:rsidRPr="009626D0">
        <w:rPr>
          <w:rFonts w:cstheme="minorHAnsi"/>
          <w:sz w:val="24"/>
          <w:szCs w:val="24"/>
        </w:rPr>
        <w:t>.”(</w:t>
      </w:r>
      <w:proofErr w:type="gramEnd"/>
      <w:r w:rsidRPr="009626D0">
        <w:rPr>
          <w:rFonts w:cstheme="minorHAnsi"/>
          <w:sz w:val="24"/>
          <w:szCs w:val="24"/>
        </w:rPr>
        <w:t>MOJ, 2025)</w:t>
      </w:r>
    </w:p>
    <w:p w14:paraId="10D2BF72"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xvi.</w:t>
      </w:r>
      <w:r w:rsidRPr="009626D0">
        <w:rPr>
          <w:rFonts w:cstheme="minorHAnsi"/>
          <w:sz w:val="24"/>
          <w:szCs w:val="24"/>
        </w:rPr>
        <w:tab/>
        <w:t xml:space="preserve">Exclusions involve a huge societal cost. The cost to the state of failing each pupil is an estimated £370,000 in additional education, benefits, health care and criminal justice costs across a lifetime (Gill et al., 2017). </w:t>
      </w:r>
    </w:p>
    <w:p w14:paraId="00073C61"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xvii.</w:t>
      </w:r>
      <w:r w:rsidRPr="009626D0">
        <w:rPr>
          <w:rFonts w:cstheme="minorHAnsi"/>
          <w:sz w:val="24"/>
          <w:szCs w:val="24"/>
        </w:rPr>
        <w:tab/>
        <w:t>It has been calculated on official estimations of numbers of exclusion, that this is a £2.1 billion cost for every year’s cohort of permanently excluded young people. Yet, given that the full extent of exclusion greatly exceeds official figures, the true cost of exclusion is likely to be many multiples of this estimated (Gill et al., 2017).</w:t>
      </w:r>
    </w:p>
    <w:p w14:paraId="30A3FF0D" w14:textId="77777777" w:rsidR="0045731F" w:rsidRPr="0045731F" w:rsidRDefault="0045731F" w:rsidP="0045731F">
      <w:pPr>
        <w:spacing w:after="100" w:line="240" w:lineRule="auto"/>
        <w:ind w:firstLine="567"/>
        <w:contextualSpacing/>
        <w:rPr>
          <w:rFonts w:cstheme="minorHAnsi"/>
          <w:b/>
          <w:bCs/>
          <w:sz w:val="24"/>
          <w:szCs w:val="24"/>
        </w:rPr>
      </w:pPr>
    </w:p>
    <w:p w14:paraId="1E7C56D7" w14:textId="77777777" w:rsidR="0045731F" w:rsidRPr="009626D0" w:rsidRDefault="0045731F" w:rsidP="009626D0">
      <w:pPr>
        <w:spacing w:after="100" w:line="240" w:lineRule="auto"/>
        <w:contextualSpacing/>
        <w:rPr>
          <w:rFonts w:cstheme="minorHAnsi"/>
          <w:color w:val="66BDCC"/>
          <w:sz w:val="32"/>
          <w:szCs w:val="32"/>
        </w:rPr>
      </w:pPr>
      <w:r w:rsidRPr="009626D0">
        <w:rPr>
          <w:rFonts w:cstheme="minorHAnsi"/>
          <w:color w:val="66BDCC"/>
          <w:sz w:val="32"/>
          <w:szCs w:val="32"/>
        </w:rPr>
        <w:t>Project Coordinator Contact Details</w:t>
      </w:r>
    </w:p>
    <w:p w14:paraId="231C314D" w14:textId="77777777" w:rsidR="0045731F" w:rsidRPr="0045731F" w:rsidRDefault="0045731F" w:rsidP="0045731F">
      <w:pPr>
        <w:spacing w:after="100" w:line="240" w:lineRule="auto"/>
        <w:ind w:firstLine="567"/>
        <w:contextualSpacing/>
        <w:rPr>
          <w:rFonts w:cstheme="minorHAnsi"/>
          <w:b/>
          <w:bCs/>
          <w:sz w:val="24"/>
          <w:szCs w:val="24"/>
        </w:rPr>
      </w:pPr>
    </w:p>
    <w:p w14:paraId="0B9C1D7C"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I.</w:t>
      </w:r>
      <w:r w:rsidRPr="009626D0">
        <w:rPr>
          <w:rFonts w:cstheme="minorHAnsi"/>
          <w:sz w:val="24"/>
          <w:szCs w:val="24"/>
        </w:rPr>
        <w:tab/>
        <w:t>This project is coordinated by Milton Keynes Youth Justice.</w:t>
      </w:r>
    </w:p>
    <w:p w14:paraId="7F23CE99"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II.</w:t>
      </w:r>
      <w:r w:rsidRPr="009626D0">
        <w:rPr>
          <w:rFonts w:cstheme="minorHAnsi"/>
          <w:sz w:val="24"/>
          <w:szCs w:val="24"/>
        </w:rPr>
        <w:tab/>
        <w:t>Contact details:</w:t>
      </w:r>
    </w:p>
    <w:p w14:paraId="1BB9B866" w14:textId="77777777" w:rsidR="0045731F" w:rsidRPr="009626D0" w:rsidRDefault="0045731F" w:rsidP="0045731F">
      <w:pPr>
        <w:spacing w:after="100" w:line="240" w:lineRule="auto"/>
        <w:ind w:firstLine="567"/>
        <w:contextualSpacing/>
        <w:rPr>
          <w:rFonts w:cstheme="minorHAnsi"/>
          <w:sz w:val="24"/>
          <w:szCs w:val="24"/>
        </w:rPr>
      </w:pPr>
      <w:r w:rsidRPr="009626D0">
        <w:rPr>
          <w:rFonts w:cstheme="minorHAnsi"/>
          <w:sz w:val="24"/>
          <w:szCs w:val="24"/>
        </w:rPr>
        <w:t>•</w:t>
      </w:r>
      <w:r w:rsidRPr="009626D0">
        <w:rPr>
          <w:rFonts w:cstheme="minorHAnsi"/>
          <w:sz w:val="24"/>
          <w:szCs w:val="24"/>
        </w:rPr>
        <w:tab/>
        <w:t xml:space="preserve">Email: PRRE@milton-keynes.gov.uk </w:t>
      </w:r>
    </w:p>
    <w:p w14:paraId="3EE3DB6D" w14:textId="77777777" w:rsidR="0045731F" w:rsidRPr="009626D0" w:rsidRDefault="0045731F" w:rsidP="0045731F">
      <w:pPr>
        <w:spacing w:after="100" w:line="240" w:lineRule="auto"/>
        <w:ind w:firstLine="567"/>
        <w:contextualSpacing/>
        <w:rPr>
          <w:rFonts w:cstheme="minorHAnsi"/>
          <w:sz w:val="24"/>
          <w:szCs w:val="24"/>
        </w:rPr>
      </w:pPr>
      <w:r w:rsidRPr="009626D0">
        <w:rPr>
          <w:rFonts w:cstheme="minorHAnsi"/>
          <w:sz w:val="24"/>
          <w:szCs w:val="24"/>
        </w:rPr>
        <w:t>•</w:t>
      </w:r>
      <w:r w:rsidRPr="009626D0">
        <w:rPr>
          <w:rFonts w:cstheme="minorHAnsi"/>
          <w:sz w:val="24"/>
          <w:szCs w:val="24"/>
        </w:rPr>
        <w:tab/>
        <w:t>Phone: 01908391000</w:t>
      </w:r>
    </w:p>
    <w:p w14:paraId="4665AB2E" w14:textId="77777777" w:rsidR="0045731F" w:rsidRPr="0045731F" w:rsidRDefault="0045731F" w:rsidP="0045731F">
      <w:pPr>
        <w:spacing w:after="100" w:line="240" w:lineRule="auto"/>
        <w:ind w:firstLine="567"/>
        <w:contextualSpacing/>
        <w:rPr>
          <w:rFonts w:cstheme="minorHAnsi"/>
          <w:b/>
          <w:bCs/>
          <w:sz w:val="24"/>
          <w:szCs w:val="24"/>
        </w:rPr>
      </w:pPr>
    </w:p>
    <w:p w14:paraId="4564E199" w14:textId="77777777" w:rsidR="0045731F" w:rsidRPr="009626D0" w:rsidRDefault="0045731F" w:rsidP="009626D0">
      <w:pPr>
        <w:spacing w:after="100" w:line="240" w:lineRule="auto"/>
        <w:contextualSpacing/>
        <w:rPr>
          <w:rFonts w:cstheme="minorHAnsi"/>
          <w:color w:val="66BDCC"/>
          <w:sz w:val="32"/>
          <w:szCs w:val="32"/>
        </w:rPr>
      </w:pPr>
      <w:r w:rsidRPr="009626D0">
        <w:rPr>
          <w:rFonts w:cstheme="minorHAnsi"/>
          <w:color w:val="66BDCC"/>
          <w:sz w:val="32"/>
          <w:szCs w:val="32"/>
        </w:rPr>
        <w:t>References</w:t>
      </w:r>
    </w:p>
    <w:p w14:paraId="4A2F74E9" w14:textId="77777777" w:rsidR="0045731F" w:rsidRPr="009626D0" w:rsidRDefault="0045731F" w:rsidP="0045731F">
      <w:pPr>
        <w:spacing w:after="100" w:line="240" w:lineRule="auto"/>
        <w:ind w:firstLine="567"/>
        <w:contextualSpacing/>
        <w:rPr>
          <w:rFonts w:cstheme="minorHAnsi"/>
          <w:sz w:val="24"/>
          <w:szCs w:val="24"/>
        </w:rPr>
      </w:pPr>
    </w:p>
    <w:p w14:paraId="19A4EFAE" w14:textId="77777777" w:rsidR="0045731F" w:rsidRPr="009626D0" w:rsidRDefault="0045731F" w:rsidP="009626D0">
      <w:pPr>
        <w:spacing w:after="100" w:line="240" w:lineRule="auto"/>
        <w:contextualSpacing/>
        <w:rPr>
          <w:rFonts w:cstheme="minorHAnsi"/>
          <w:sz w:val="24"/>
          <w:szCs w:val="24"/>
        </w:rPr>
      </w:pPr>
      <w:proofErr w:type="spellStart"/>
      <w:r w:rsidRPr="009626D0">
        <w:rPr>
          <w:rFonts w:cstheme="minorHAnsi"/>
          <w:sz w:val="24"/>
          <w:szCs w:val="24"/>
        </w:rPr>
        <w:t>i</w:t>
      </w:r>
      <w:proofErr w:type="spellEnd"/>
      <w:r w:rsidRPr="009626D0">
        <w:rPr>
          <w:rFonts w:cstheme="minorHAnsi"/>
          <w:sz w:val="24"/>
          <w:szCs w:val="24"/>
        </w:rPr>
        <w:t>.</w:t>
      </w:r>
      <w:r w:rsidRPr="009626D0">
        <w:rPr>
          <w:rFonts w:cstheme="minorHAnsi"/>
          <w:sz w:val="24"/>
          <w:szCs w:val="24"/>
        </w:rPr>
        <w:tab/>
        <w:t xml:space="preserve">Ministry of Justice (MoJ), (2018) Examining the Educational Background of Young Knife Possession Offenders. MoJ. Available from: </w:t>
      </w:r>
    </w:p>
    <w:p w14:paraId="678BA24D" w14:textId="77777777" w:rsidR="0045731F" w:rsidRPr="009626D0" w:rsidRDefault="0045731F" w:rsidP="0045731F">
      <w:pPr>
        <w:spacing w:after="100" w:line="240" w:lineRule="auto"/>
        <w:ind w:firstLine="567"/>
        <w:contextualSpacing/>
        <w:rPr>
          <w:rFonts w:cstheme="minorHAnsi"/>
          <w:sz w:val="24"/>
          <w:szCs w:val="24"/>
        </w:rPr>
      </w:pPr>
      <w:r w:rsidRPr="009626D0">
        <w:rPr>
          <w:rFonts w:cstheme="minorHAnsi"/>
          <w:sz w:val="24"/>
          <w:szCs w:val="24"/>
        </w:rPr>
        <w:t>https://assets.publishing.service.gov.uk/government/uploads/system/uploads/attachment_data/file/716039/examining-the-educational-background-of-young-knife-possession-offenders.pdf</w:t>
      </w:r>
    </w:p>
    <w:p w14:paraId="72DE57BC"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ii.</w:t>
      </w:r>
      <w:r w:rsidRPr="009626D0">
        <w:rPr>
          <w:rFonts w:cstheme="minorHAnsi"/>
          <w:sz w:val="24"/>
          <w:szCs w:val="24"/>
        </w:rPr>
        <w:tab/>
        <w:t xml:space="preserve">Gill, K., Quilter-Pinner, H. and Swift, D. (2017) Making </w:t>
      </w:r>
      <w:proofErr w:type="gramStart"/>
      <w:r w:rsidRPr="009626D0">
        <w:rPr>
          <w:rFonts w:cstheme="minorHAnsi"/>
          <w:sz w:val="24"/>
          <w:szCs w:val="24"/>
        </w:rPr>
        <w:t>The</w:t>
      </w:r>
      <w:proofErr w:type="gramEnd"/>
      <w:r w:rsidRPr="009626D0">
        <w:rPr>
          <w:rFonts w:cstheme="minorHAnsi"/>
          <w:sz w:val="24"/>
          <w:szCs w:val="24"/>
        </w:rPr>
        <w:t xml:space="preserve"> Difference Breaking </w:t>
      </w:r>
      <w:proofErr w:type="gramStart"/>
      <w:r w:rsidRPr="009626D0">
        <w:rPr>
          <w:rFonts w:cstheme="minorHAnsi"/>
          <w:sz w:val="24"/>
          <w:szCs w:val="24"/>
        </w:rPr>
        <w:t>The</w:t>
      </w:r>
      <w:proofErr w:type="gramEnd"/>
      <w:r w:rsidRPr="009626D0">
        <w:rPr>
          <w:rFonts w:cstheme="minorHAnsi"/>
          <w:sz w:val="24"/>
          <w:szCs w:val="24"/>
        </w:rPr>
        <w:t xml:space="preserve"> Link Between School Exclusion </w:t>
      </w:r>
      <w:proofErr w:type="gramStart"/>
      <w:r w:rsidRPr="009626D0">
        <w:rPr>
          <w:rFonts w:cstheme="minorHAnsi"/>
          <w:sz w:val="24"/>
          <w:szCs w:val="24"/>
        </w:rPr>
        <w:t>And</w:t>
      </w:r>
      <w:proofErr w:type="gramEnd"/>
      <w:r w:rsidRPr="009626D0">
        <w:rPr>
          <w:rFonts w:cstheme="minorHAnsi"/>
          <w:sz w:val="24"/>
          <w:szCs w:val="24"/>
        </w:rPr>
        <w:t xml:space="preserve"> Social Exclusion. Institute for Public Policy Research. Available from:  https://www.ippr.org/files/2017-10/making-the-difference-report-october-2017.pdf </w:t>
      </w:r>
    </w:p>
    <w:p w14:paraId="56D8B97D"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lastRenderedPageBreak/>
        <w:t>iii.</w:t>
      </w:r>
      <w:r w:rsidRPr="009626D0">
        <w:rPr>
          <w:rFonts w:cstheme="minorHAnsi"/>
          <w:sz w:val="24"/>
          <w:szCs w:val="24"/>
        </w:rPr>
        <w:tab/>
        <w:t>Department for Education (DfE) (2017) Permanent and fixed-period exclusions in England: 2015 to 2016.</w:t>
      </w:r>
    </w:p>
    <w:p w14:paraId="5350C35B"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iv.</w:t>
      </w:r>
      <w:r w:rsidRPr="009626D0">
        <w:rPr>
          <w:rFonts w:cstheme="minorHAnsi"/>
          <w:sz w:val="24"/>
          <w:szCs w:val="24"/>
        </w:rPr>
        <w:tab/>
        <w:t xml:space="preserve">Ministry of Justice (MoJ) (2012) Prisoners’ Childhood and Family Backgrounds; Results </w:t>
      </w:r>
      <w:proofErr w:type="gramStart"/>
      <w:r w:rsidRPr="009626D0">
        <w:rPr>
          <w:rFonts w:cstheme="minorHAnsi"/>
          <w:sz w:val="24"/>
          <w:szCs w:val="24"/>
        </w:rPr>
        <w:t>From</w:t>
      </w:r>
      <w:proofErr w:type="gramEnd"/>
      <w:r w:rsidRPr="009626D0">
        <w:rPr>
          <w:rFonts w:cstheme="minorHAnsi"/>
          <w:sz w:val="24"/>
          <w:szCs w:val="24"/>
        </w:rPr>
        <w:t xml:space="preserve"> </w:t>
      </w:r>
      <w:proofErr w:type="gramStart"/>
      <w:r w:rsidRPr="009626D0">
        <w:rPr>
          <w:rFonts w:cstheme="minorHAnsi"/>
          <w:sz w:val="24"/>
          <w:szCs w:val="24"/>
        </w:rPr>
        <w:t>The</w:t>
      </w:r>
      <w:proofErr w:type="gramEnd"/>
      <w:r w:rsidRPr="009626D0">
        <w:rPr>
          <w:rFonts w:cstheme="minorHAnsi"/>
          <w:sz w:val="24"/>
          <w:szCs w:val="24"/>
        </w:rPr>
        <w:t xml:space="preserve"> Surveying Prisoner Crime Reduction (SPCR) Longitudinal Cohort Study </w:t>
      </w:r>
      <w:proofErr w:type="gramStart"/>
      <w:r w:rsidRPr="009626D0">
        <w:rPr>
          <w:rFonts w:cstheme="minorHAnsi"/>
          <w:sz w:val="24"/>
          <w:szCs w:val="24"/>
        </w:rPr>
        <w:t>of  Prisoners</w:t>
      </w:r>
      <w:proofErr w:type="gramEnd"/>
      <w:r w:rsidRPr="009626D0">
        <w:rPr>
          <w:rFonts w:cstheme="minorHAnsi"/>
          <w:sz w:val="24"/>
          <w:szCs w:val="24"/>
        </w:rPr>
        <w:t>.</w:t>
      </w:r>
    </w:p>
    <w:p w14:paraId="5C6356D2"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v.</w:t>
      </w:r>
      <w:r w:rsidRPr="009626D0">
        <w:rPr>
          <w:rFonts w:cstheme="minorHAnsi"/>
          <w:sz w:val="24"/>
          <w:szCs w:val="24"/>
        </w:rPr>
        <w:tab/>
        <w:t xml:space="preserve">Centre for Social Justice (2025) School Exclusion Tracker – April 2025. London: CSJ. Available at: https://www.centreforsocialjustice.org.uk/wp-content/uploads/2025/04/CSJ-Exclusion_Tracker_April_2025.pdf </w:t>
      </w:r>
    </w:p>
    <w:p w14:paraId="6A068B2E"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vi.</w:t>
      </w:r>
      <w:r w:rsidRPr="009626D0">
        <w:rPr>
          <w:rFonts w:cstheme="minorHAnsi"/>
          <w:sz w:val="24"/>
          <w:szCs w:val="24"/>
        </w:rPr>
        <w:tab/>
        <w:t xml:space="preserve">Department for Education (2025) Suspensions and Permanent Exclusions in England: Academic Year 2023/24. Explore Education Statistics. Available at: https://explore-education-statistics.service.gov.uk/find-statistics/suspensions-and-permanent-exclusions-in-england/2023-24 </w:t>
      </w:r>
    </w:p>
    <w:p w14:paraId="18165C33"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vii.</w:t>
      </w:r>
      <w:r w:rsidRPr="009626D0">
        <w:rPr>
          <w:rFonts w:cstheme="minorHAnsi"/>
          <w:sz w:val="24"/>
          <w:szCs w:val="24"/>
        </w:rPr>
        <w:tab/>
        <w:t xml:space="preserve">Browne Jacobson (2025) Analysing New Statistics on School Exclusions. Published 29 April 2025. Available at: https://www.brownejacobson.com/insights/analysing-new-statistics-on-school-exclusions </w:t>
      </w:r>
    </w:p>
    <w:p w14:paraId="2CDBC700" w14:textId="77777777" w:rsidR="0045731F" w:rsidRPr="009626D0" w:rsidRDefault="0045731F" w:rsidP="009626D0">
      <w:pPr>
        <w:spacing w:after="100" w:line="240" w:lineRule="auto"/>
        <w:contextualSpacing/>
        <w:rPr>
          <w:rFonts w:cstheme="minorHAnsi"/>
          <w:sz w:val="24"/>
          <w:szCs w:val="24"/>
        </w:rPr>
      </w:pPr>
      <w:r w:rsidRPr="009626D0">
        <w:rPr>
          <w:rFonts w:cstheme="minorHAnsi"/>
          <w:sz w:val="24"/>
          <w:szCs w:val="24"/>
        </w:rPr>
        <w:t>viii.</w:t>
      </w:r>
      <w:r w:rsidRPr="009626D0">
        <w:rPr>
          <w:rFonts w:cstheme="minorHAnsi"/>
          <w:sz w:val="24"/>
          <w:szCs w:val="24"/>
        </w:rPr>
        <w:tab/>
        <w:t xml:space="preserve">Barrett, V. (2025) The Pathways of Excluded School Pupils into (and out of) the Criminal Justice System. ADR UK. Published 7 February 2025. Available at: https://www.adruk.org/news-publications/news-blogs/the-pathways-of-excluded-school-pupils-into-and-out-of-the-criminal-justice-system </w:t>
      </w:r>
    </w:p>
    <w:p w14:paraId="066E26DE" w14:textId="77777777" w:rsidR="0045731F" w:rsidRPr="009626D0" w:rsidRDefault="0045731F" w:rsidP="0045731F">
      <w:pPr>
        <w:spacing w:after="100" w:line="240" w:lineRule="auto"/>
        <w:ind w:firstLine="567"/>
        <w:contextualSpacing/>
        <w:rPr>
          <w:rFonts w:cstheme="minorHAnsi"/>
          <w:sz w:val="24"/>
          <w:szCs w:val="24"/>
        </w:rPr>
      </w:pPr>
    </w:p>
    <w:p w14:paraId="4AD5BA49" w14:textId="77777777" w:rsidR="0045731F" w:rsidRPr="009626D0" w:rsidRDefault="0045731F" w:rsidP="0045731F">
      <w:pPr>
        <w:spacing w:after="100" w:line="240" w:lineRule="auto"/>
        <w:ind w:firstLine="567"/>
        <w:contextualSpacing/>
        <w:rPr>
          <w:rFonts w:cstheme="minorHAnsi"/>
          <w:sz w:val="24"/>
          <w:szCs w:val="24"/>
        </w:rPr>
      </w:pPr>
    </w:p>
    <w:p w14:paraId="04585FBC" w14:textId="77777777" w:rsidR="0045731F" w:rsidRPr="009626D0" w:rsidRDefault="0045731F" w:rsidP="0045731F">
      <w:pPr>
        <w:spacing w:after="100" w:line="240" w:lineRule="auto"/>
        <w:ind w:firstLine="567"/>
        <w:contextualSpacing/>
        <w:rPr>
          <w:rFonts w:cstheme="minorHAnsi"/>
          <w:sz w:val="24"/>
          <w:szCs w:val="24"/>
        </w:rPr>
      </w:pPr>
      <w:r w:rsidRPr="009626D0">
        <w:rPr>
          <w:rFonts w:cstheme="minorHAnsi"/>
          <w:sz w:val="24"/>
          <w:szCs w:val="24"/>
        </w:rPr>
        <w:t>Signatories</w:t>
      </w:r>
    </w:p>
    <w:p w14:paraId="4D5D6146" w14:textId="77777777" w:rsidR="0045731F" w:rsidRPr="009626D0" w:rsidRDefault="0045731F" w:rsidP="0045731F">
      <w:pPr>
        <w:spacing w:after="100" w:line="240" w:lineRule="auto"/>
        <w:ind w:firstLine="567"/>
        <w:contextualSpacing/>
        <w:rPr>
          <w:rFonts w:cstheme="minorHAnsi"/>
          <w:sz w:val="24"/>
          <w:szCs w:val="24"/>
        </w:rPr>
      </w:pPr>
    </w:p>
    <w:p w14:paraId="12699A31" w14:textId="77777777" w:rsidR="0045731F" w:rsidRPr="009626D0" w:rsidRDefault="0045731F" w:rsidP="0045731F">
      <w:pPr>
        <w:spacing w:after="100" w:line="240" w:lineRule="auto"/>
        <w:ind w:firstLine="567"/>
        <w:contextualSpacing/>
        <w:rPr>
          <w:rFonts w:cstheme="minorHAnsi"/>
          <w:sz w:val="24"/>
          <w:szCs w:val="24"/>
        </w:rPr>
      </w:pPr>
      <w:r w:rsidRPr="009626D0">
        <w:rPr>
          <w:rFonts w:cstheme="minorHAnsi"/>
          <w:sz w:val="24"/>
          <w:szCs w:val="24"/>
        </w:rPr>
        <w:t>This document has been agreed by:</w:t>
      </w:r>
    </w:p>
    <w:p w14:paraId="784D0285" w14:textId="77777777" w:rsidR="0045731F" w:rsidRPr="009626D0" w:rsidRDefault="0045731F" w:rsidP="0045731F">
      <w:pPr>
        <w:spacing w:after="100" w:line="240" w:lineRule="auto"/>
        <w:ind w:firstLine="567"/>
        <w:contextualSpacing/>
        <w:rPr>
          <w:rFonts w:cstheme="minorHAnsi"/>
          <w:sz w:val="24"/>
          <w:szCs w:val="24"/>
        </w:rPr>
      </w:pPr>
    </w:p>
    <w:p w14:paraId="3D66956A" w14:textId="77777777" w:rsidR="0045731F" w:rsidRPr="009626D0" w:rsidRDefault="0045731F" w:rsidP="0045731F">
      <w:pPr>
        <w:spacing w:after="100" w:line="240" w:lineRule="auto"/>
        <w:ind w:firstLine="567"/>
        <w:contextualSpacing/>
        <w:rPr>
          <w:rFonts w:cstheme="minorHAnsi"/>
          <w:sz w:val="24"/>
          <w:szCs w:val="24"/>
        </w:rPr>
      </w:pPr>
      <w:r w:rsidRPr="009626D0">
        <w:rPr>
          <w:rFonts w:cstheme="minorHAnsi"/>
          <w:sz w:val="24"/>
          <w:szCs w:val="24"/>
        </w:rPr>
        <w:t>Authorised Signatory for PRRE</w:t>
      </w:r>
    </w:p>
    <w:p w14:paraId="237EC8F8" w14:textId="77777777" w:rsidR="0045731F" w:rsidRPr="009626D0" w:rsidRDefault="0045731F" w:rsidP="0045731F">
      <w:pPr>
        <w:spacing w:after="100" w:line="240" w:lineRule="auto"/>
        <w:ind w:firstLine="567"/>
        <w:contextualSpacing/>
        <w:rPr>
          <w:rFonts w:cstheme="minorHAnsi"/>
          <w:sz w:val="24"/>
          <w:szCs w:val="24"/>
        </w:rPr>
      </w:pPr>
    </w:p>
    <w:p w14:paraId="51F0942E" w14:textId="77777777" w:rsidR="0045731F" w:rsidRPr="009626D0" w:rsidRDefault="0045731F" w:rsidP="0045731F">
      <w:pPr>
        <w:spacing w:after="100" w:line="240" w:lineRule="auto"/>
        <w:ind w:firstLine="567"/>
        <w:contextualSpacing/>
        <w:rPr>
          <w:rFonts w:cstheme="minorHAnsi"/>
          <w:sz w:val="24"/>
          <w:szCs w:val="24"/>
        </w:rPr>
      </w:pPr>
      <w:proofErr w:type="gramStart"/>
      <w:r w:rsidRPr="009626D0">
        <w:rPr>
          <w:rFonts w:cstheme="minorHAnsi"/>
          <w:sz w:val="24"/>
          <w:szCs w:val="24"/>
        </w:rPr>
        <w:t>Name:…</w:t>
      </w:r>
      <w:proofErr w:type="gramEnd"/>
      <w:r w:rsidRPr="009626D0">
        <w:rPr>
          <w:rFonts w:cstheme="minorHAnsi"/>
          <w:sz w:val="24"/>
          <w:szCs w:val="24"/>
        </w:rPr>
        <w:t>……………………………………………</w:t>
      </w:r>
      <w:proofErr w:type="gramStart"/>
      <w:r w:rsidRPr="009626D0">
        <w:rPr>
          <w:rFonts w:cstheme="minorHAnsi"/>
          <w:sz w:val="24"/>
          <w:szCs w:val="24"/>
        </w:rPr>
        <w:t>…..Position:…</w:t>
      </w:r>
      <w:proofErr w:type="gramEnd"/>
      <w:r w:rsidRPr="009626D0">
        <w:rPr>
          <w:rFonts w:cstheme="minorHAnsi"/>
          <w:sz w:val="24"/>
          <w:szCs w:val="24"/>
        </w:rPr>
        <w:t>………………………………………</w:t>
      </w:r>
    </w:p>
    <w:p w14:paraId="15718A7F" w14:textId="77777777" w:rsidR="0045731F" w:rsidRPr="009626D0" w:rsidRDefault="0045731F" w:rsidP="0045731F">
      <w:pPr>
        <w:spacing w:after="100" w:line="240" w:lineRule="auto"/>
        <w:ind w:firstLine="567"/>
        <w:contextualSpacing/>
        <w:rPr>
          <w:rFonts w:cstheme="minorHAnsi"/>
          <w:sz w:val="24"/>
          <w:szCs w:val="24"/>
        </w:rPr>
      </w:pPr>
    </w:p>
    <w:p w14:paraId="3FDADF30" w14:textId="77777777" w:rsidR="0045731F" w:rsidRPr="009626D0" w:rsidRDefault="0045731F" w:rsidP="0045731F">
      <w:pPr>
        <w:spacing w:after="100" w:line="240" w:lineRule="auto"/>
        <w:ind w:firstLine="567"/>
        <w:contextualSpacing/>
        <w:rPr>
          <w:rFonts w:cstheme="minorHAnsi"/>
          <w:sz w:val="24"/>
          <w:szCs w:val="24"/>
        </w:rPr>
      </w:pPr>
      <w:proofErr w:type="gramStart"/>
      <w:r w:rsidRPr="009626D0">
        <w:rPr>
          <w:rFonts w:cstheme="minorHAnsi"/>
          <w:sz w:val="24"/>
          <w:szCs w:val="24"/>
        </w:rPr>
        <w:t>Date:…</w:t>
      </w:r>
      <w:proofErr w:type="gramEnd"/>
      <w:r w:rsidRPr="009626D0">
        <w:rPr>
          <w:rFonts w:cstheme="minorHAnsi"/>
          <w:sz w:val="24"/>
          <w:szCs w:val="24"/>
        </w:rPr>
        <w:t>……………………………………………….   Contact details:</w:t>
      </w:r>
    </w:p>
    <w:p w14:paraId="4AB0FEFE" w14:textId="77777777" w:rsidR="0045731F" w:rsidRPr="009626D0" w:rsidRDefault="0045731F" w:rsidP="0045731F">
      <w:pPr>
        <w:spacing w:after="100" w:line="240" w:lineRule="auto"/>
        <w:ind w:firstLine="567"/>
        <w:contextualSpacing/>
        <w:rPr>
          <w:rFonts w:cstheme="minorHAnsi"/>
          <w:sz w:val="24"/>
          <w:szCs w:val="24"/>
        </w:rPr>
      </w:pPr>
    </w:p>
    <w:p w14:paraId="033325DA" w14:textId="77777777" w:rsidR="0045731F" w:rsidRPr="009626D0" w:rsidRDefault="0045731F" w:rsidP="0045731F">
      <w:pPr>
        <w:spacing w:after="100" w:line="240" w:lineRule="auto"/>
        <w:ind w:firstLine="567"/>
        <w:contextualSpacing/>
        <w:rPr>
          <w:rFonts w:cstheme="minorHAnsi"/>
          <w:sz w:val="24"/>
          <w:szCs w:val="24"/>
        </w:rPr>
      </w:pPr>
      <w:r w:rsidRPr="009626D0">
        <w:rPr>
          <w:rFonts w:cstheme="minorHAnsi"/>
          <w:sz w:val="24"/>
          <w:szCs w:val="24"/>
        </w:rPr>
        <w:t>Authorised Signatory for Education Setting</w:t>
      </w:r>
    </w:p>
    <w:p w14:paraId="5C3FCBEC" w14:textId="77777777" w:rsidR="0045731F" w:rsidRPr="009626D0" w:rsidRDefault="0045731F" w:rsidP="0045731F">
      <w:pPr>
        <w:spacing w:after="100" w:line="240" w:lineRule="auto"/>
        <w:ind w:firstLine="567"/>
        <w:contextualSpacing/>
        <w:rPr>
          <w:rFonts w:cstheme="minorHAnsi"/>
          <w:sz w:val="24"/>
          <w:szCs w:val="24"/>
        </w:rPr>
      </w:pPr>
    </w:p>
    <w:p w14:paraId="167F11A1" w14:textId="77777777" w:rsidR="0045731F" w:rsidRPr="009626D0" w:rsidRDefault="0045731F" w:rsidP="0045731F">
      <w:pPr>
        <w:spacing w:after="100" w:line="240" w:lineRule="auto"/>
        <w:ind w:firstLine="567"/>
        <w:contextualSpacing/>
        <w:rPr>
          <w:rFonts w:cstheme="minorHAnsi"/>
          <w:sz w:val="24"/>
          <w:szCs w:val="24"/>
        </w:rPr>
      </w:pPr>
      <w:r w:rsidRPr="009626D0">
        <w:rPr>
          <w:rFonts w:cstheme="minorHAnsi"/>
          <w:sz w:val="24"/>
          <w:szCs w:val="24"/>
        </w:rPr>
        <w:t xml:space="preserve">School: </w:t>
      </w:r>
      <w:r w:rsidRPr="009626D0">
        <w:rPr>
          <w:rFonts w:cstheme="minorHAnsi"/>
          <w:sz w:val="24"/>
          <w:szCs w:val="24"/>
        </w:rPr>
        <w:tab/>
      </w:r>
      <w:r w:rsidRPr="009626D0">
        <w:rPr>
          <w:rFonts w:cstheme="minorHAnsi"/>
          <w:sz w:val="24"/>
          <w:szCs w:val="24"/>
        </w:rPr>
        <w:tab/>
      </w:r>
      <w:r w:rsidRPr="009626D0">
        <w:rPr>
          <w:rFonts w:cstheme="minorHAnsi"/>
          <w:sz w:val="24"/>
          <w:szCs w:val="24"/>
        </w:rPr>
        <w:tab/>
      </w:r>
      <w:r w:rsidRPr="009626D0">
        <w:rPr>
          <w:rFonts w:cstheme="minorHAnsi"/>
          <w:sz w:val="24"/>
          <w:szCs w:val="24"/>
        </w:rPr>
        <w:tab/>
        <w:t xml:space="preserve">Name: </w:t>
      </w:r>
    </w:p>
    <w:p w14:paraId="23D3FF64" w14:textId="77777777" w:rsidR="0045731F" w:rsidRPr="009626D0" w:rsidRDefault="0045731F" w:rsidP="0045731F">
      <w:pPr>
        <w:spacing w:after="100" w:line="240" w:lineRule="auto"/>
        <w:ind w:firstLine="567"/>
        <w:contextualSpacing/>
        <w:rPr>
          <w:rFonts w:cstheme="minorHAnsi"/>
          <w:sz w:val="24"/>
          <w:szCs w:val="24"/>
        </w:rPr>
      </w:pPr>
    </w:p>
    <w:p w14:paraId="16F9781F" w14:textId="77777777" w:rsidR="0045731F" w:rsidRPr="009626D0" w:rsidRDefault="0045731F" w:rsidP="0045731F">
      <w:pPr>
        <w:spacing w:after="100" w:line="240" w:lineRule="auto"/>
        <w:ind w:firstLine="567"/>
        <w:contextualSpacing/>
        <w:rPr>
          <w:rFonts w:cstheme="minorHAnsi"/>
          <w:sz w:val="24"/>
          <w:szCs w:val="24"/>
        </w:rPr>
      </w:pPr>
      <w:r w:rsidRPr="009626D0">
        <w:rPr>
          <w:rFonts w:cstheme="minorHAnsi"/>
          <w:sz w:val="24"/>
          <w:szCs w:val="24"/>
        </w:rPr>
        <w:t xml:space="preserve">Position:           </w:t>
      </w:r>
      <w:r w:rsidRPr="009626D0">
        <w:rPr>
          <w:rFonts w:cstheme="minorHAnsi"/>
          <w:sz w:val="24"/>
          <w:szCs w:val="24"/>
        </w:rPr>
        <w:tab/>
      </w:r>
      <w:r w:rsidRPr="009626D0">
        <w:rPr>
          <w:rFonts w:cstheme="minorHAnsi"/>
          <w:sz w:val="24"/>
          <w:szCs w:val="24"/>
        </w:rPr>
        <w:tab/>
      </w:r>
      <w:r w:rsidRPr="009626D0">
        <w:rPr>
          <w:rFonts w:cstheme="minorHAnsi"/>
          <w:sz w:val="24"/>
          <w:szCs w:val="24"/>
        </w:rPr>
        <w:tab/>
        <w:t xml:space="preserve">Date: </w:t>
      </w:r>
    </w:p>
    <w:p w14:paraId="7B81FA1A" w14:textId="77777777" w:rsidR="0045731F" w:rsidRPr="009626D0" w:rsidRDefault="0045731F" w:rsidP="0045731F">
      <w:pPr>
        <w:spacing w:after="100" w:line="240" w:lineRule="auto"/>
        <w:ind w:firstLine="567"/>
        <w:contextualSpacing/>
        <w:rPr>
          <w:rFonts w:cstheme="minorHAnsi"/>
          <w:sz w:val="24"/>
          <w:szCs w:val="24"/>
        </w:rPr>
      </w:pPr>
    </w:p>
    <w:p w14:paraId="23435AB5" w14:textId="4464A42B" w:rsidR="00734EC0" w:rsidRPr="009626D0" w:rsidRDefault="0045731F" w:rsidP="0045731F">
      <w:pPr>
        <w:spacing w:after="100" w:line="240" w:lineRule="auto"/>
        <w:ind w:firstLine="567"/>
        <w:contextualSpacing/>
        <w:rPr>
          <w:rFonts w:cstheme="minorHAnsi"/>
          <w:sz w:val="24"/>
          <w:szCs w:val="24"/>
        </w:rPr>
      </w:pPr>
      <w:r w:rsidRPr="009626D0">
        <w:rPr>
          <w:rFonts w:cstheme="minorHAnsi"/>
          <w:sz w:val="24"/>
          <w:szCs w:val="24"/>
        </w:rPr>
        <w:t>Contact details:</w:t>
      </w:r>
    </w:p>
    <w:sectPr w:rsidR="00734EC0" w:rsidRPr="009626D0" w:rsidSect="007A7BE0">
      <w:headerReference w:type="default" r:id="rId10"/>
      <w:footerReference w:type="default" r:id="rId11"/>
      <w:headerReference w:type="first" r:id="rId12"/>
      <w:pgSz w:w="11906" w:h="16838"/>
      <w:pgMar w:top="720" w:right="720" w:bottom="720" w:left="720"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976D3" w14:textId="77777777" w:rsidR="005F536E" w:rsidRDefault="005F536E" w:rsidP="00F45CF3">
      <w:pPr>
        <w:spacing w:after="0" w:line="240" w:lineRule="auto"/>
      </w:pPr>
      <w:r>
        <w:separator/>
      </w:r>
    </w:p>
  </w:endnote>
  <w:endnote w:type="continuationSeparator" w:id="0">
    <w:p w14:paraId="2456EF6F" w14:textId="77777777" w:rsidR="005F536E" w:rsidRDefault="005F536E" w:rsidP="00F45CF3">
      <w:pPr>
        <w:spacing w:after="0" w:line="240" w:lineRule="auto"/>
      </w:pPr>
      <w:r>
        <w:continuationSeparator/>
      </w:r>
    </w:p>
  </w:endnote>
  <w:endnote w:type="continuationNotice" w:id="1">
    <w:p w14:paraId="5B61C163" w14:textId="77777777" w:rsidR="005F536E" w:rsidRDefault="005F53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07F6" w14:textId="77777777"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8ECA" w14:textId="77777777" w:rsidR="005F536E" w:rsidRDefault="005F536E" w:rsidP="00F45CF3">
      <w:pPr>
        <w:spacing w:after="0" w:line="240" w:lineRule="auto"/>
      </w:pPr>
      <w:r>
        <w:separator/>
      </w:r>
    </w:p>
  </w:footnote>
  <w:footnote w:type="continuationSeparator" w:id="0">
    <w:p w14:paraId="6F37C43B" w14:textId="77777777" w:rsidR="005F536E" w:rsidRDefault="005F536E" w:rsidP="00F45CF3">
      <w:pPr>
        <w:spacing w:after="0" w:line="240" w:lineRule="auto"/>
      </w:pPr>
      <w:r>
        <w:continuationSeparator/>
      </w:r>
    </w:p>
  </w:footnote>
  <w:footnote w:type="continuationNotice" w:id="1">
    <w:p w14:paraId="68A992E9" w14:textId="77777777" w:rsidR="005F536E" w:rsidRDefault="005F53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A577" w14:textId="77777777" w:rsidR="00F45CF3" w:rsidRDefault="00F2793B"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47E5FC53">
              <wp:simplePos x="0" y="0"/>
              <wp:positionH relativeFrom="column">
                <wp:posOffset>-5658245</wp:posOffset>
              </wp:positionH>
              <wp:positionV relativeFrom="paragraph">
                <wp:posOffset>4534535</wp:posOffset>
              </wp:positionV>
              <wp:extent cx="10754678" cy="359410"/>
              <wp:effectExtent l="0" t="3175" r="5715" b="5715"/>
              <wp:wrapNone/>
              <wp:docPr id="598649480" name="Rectangle 598649480"/>
              <wp:cNvGraphicFramePr/>
              <a:graphic xmlns:a="http://schemas.openxmlformats.org/drawingml/2006/main">
                <a:graphicData uri="http://schemas.microsoft.com/office/word/2010/wordprocessingShape">
                  <wps:wsp>
                    <wps:cNvSpPr/>
                    <wps:spPr>
                      <a:xfrm rot="5400000">
                        <a:off x="0" y="0"/>
                        <a:ext cx="10754678" cy="359410"/>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6CA9F" id="Rectangle 598649480" o:spid="_x0000_s1026" style="position:absolute;margin-left:-445.55pt;margin-top:357.05pt;width:846.85pt;height:28.3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" fillcolor="#008796"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6E60" w14:textId="77777777" w:rsidR="007A7BE0" w:rsidRDefault="00391F01">
    <w:pPr>
      <w:pStyle w:val="Header"/>
    </w:pPr>
    <w:r>
      <w:rPr>
        <w:noProof/>
        <w:lang w:eastAsia="en-GB"/>
      </w:rPr>
      <mc:AlternateContent>
        <mc:Choice Requires="wps">
          <w:drawing>
            <wp:anchor distT="0" distB="0" distL="114300" distR="114300" simplePos="0" relativeHeight="251661313" behindDoc="0" locked="0" layoutInCell="1" allowOverlap="1" wp14:anchorId="42770917" wp14:editId="545E2DE0">
              <wp:simplePos x="0" y="0"/>
              <wp:positionH relativeFrom="column">
                <wp:posOffset>-5645785</wp:posOffset>
              </wp:positionH>
              <wp:positionV relativeFrom="paragraph">
                <wp:posOffset>4589145</wp:posOffset>
              </wp:positionV>
              <wp:extent cx="10754360" cy="359410"/>
              <wp:effectExtent l="0" t="3175" r="5715" b="5715"/>
              <wp:wrapNone/>
              <wp:docPr id="1510539166" name="Rectangle 1510539166"/>
              <wp:cNvGraphicFramePr/>
              <a:graphic xmlns:a="http://schemas.openxmlformats.org/drawingml/2006/main">
                <a:graphicData uri="http://schemas.microsoft.com/office/word/2010/wordprocessingShape">
                  <wps:wsp>
                    <wps:cNvSpPr/>
                    <wps:spPr>
                      <a:xfrm rot="5400000">
                        <a:off x="0" y="0"/>
                        <a:ext cx="10754360" cy="359410"/>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84DDB" id="Rectangle 1510539166" o:spid="_x0000_s1026" style="position:absolute;margin-left:-444.55pt;margin-top:361.35pt;width:846.8pt;height:28.3pt;rotation:90;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" fillcolor="#008796" stroked="f" strokeweight="1pt"/>
          </w:pict>
        </mc:Fallback>
      </mc:AlternateContent>
    </w:r>
    <w:r w:rsidR="007A7BE0">
      <w:rPr>
        <w:noProof/>
      </w:rPr>
      <w:drawing>
        <wp:anchor distT="0" distB="0" distL="114300" distR="114300" simplePos="0" relativeHeight="251660289" behindDoc="0" locked="0" layoutInCell="1" allowOverlap="1" wp14:anchorId="72BAD4D2" wp14:editId="39A39A2B">
          <wp:simplePos x="0" y="0"/>
          <wp:positionH relativeFrom="column">
            <wp:posOffset>4225925</wp:posOffset>
          </wp:positionH>
          <wp:positionV relativeFrom="paragraph">
            <wp:posOffset>-149225</wp:posOffset>
          </wp:positionV>
          <wp:extent cx="2535555" cy="632460"/>
          <wp:effectExtent l="0" t="0" r="4445" b="2540"/>
          <wp:wrapNone/>
          <wp:docPr id="1110825764" name="Picture 111082576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31F"/>
    <w:rsid w:val="00045D9C"/>
    <w:rsid w:val="00064DC1"/>
    <w:rsid w:val="000C6E1C"/>
    <w:rsid w:val="000E3B9C"/>
    <w:rsid w:val="0017540B"/>
    <w:rsid w:val="001814C9"/>
    <w:rsid w:val="001E2824"/>
    <w:rsid w:val="00211B24"/>
    <w:rsid w:val="00273564"/>
    <w:rsid w:val="00391F01"/>
    <w:rsid w:val="00420C3A"/>
    <w:rsid w:val="0045731F"/>
    <w:rsid w:val="004A364B"/>
    <w:rsid w:val="004B30AF"/>
    <w:rsid w:val="00593998"/>
    <w:rsid w:val="005C3BD0"/>
    <w:rsid w:val="005F536E"/>
    <w:rsid w:val="006043E2"/>
    <w:rsid w:val="00637D75"/>
    <w:rsid w:val="0064246E"/>
    <w:rsid w:val="00643E56"/>
    <w:rsid w:val="00644957"/>
    <w:rsid w:val="006564BE"/>
    <w:rsid w:val="006C084B"/>
    <w:rsid w:val="006C57D6"/>
    <w:rsid w:val="006D5567"/>
    <w:rsid w:val="006D7CC1"/>
    <w:rsid w:val="006F1198"/>
    <w:rsid w:val="006F276C"/>
    <w:rsid w:val="00734EC0"/>
    <w:rsid w:val="007A7BE0"/>
    <w:rsid w:val="007E4EA3"/>
    <w:rsid w:val="00806C53"/>
    <w:rsid w:val="00830F68"/>
    <w:rsid w:val="008326A4"/>
    <w:rsid w:val="008416E5"/>
    <w:rsid w:val="00882D65"/>
    <w:rsid w:val="008E36FF"/>
    <w:rsid w:val="008E461A"/>
    <w:rsid w:val="009626D0"/>
    <w:rsid w:val="00981D37"/>
    <w:rsid w:val="00992B8E"/>
    <w:rsid w:val="00A45DA9"/>
    <w:rsid w:val="00AD1F73"/>
    <w:rsid w:val="00AE5F48"/>
    <w:rsid w:val="00AF1785"/>
    <w:rsid w:val="00B03B56"/>
    <w:rsid w:val="00B350BA"/>
    <w:rsid w:val="00B466BE"/>
    <w:rsid w:val="00B73D5B"/>
    <w:rsid w:val="00BE5187"/>
    <w:rsid w:val="00C97CF8"/>
    <w:rsid w:val="00D038CF"/>
    <w:rsid w:val="00D610CF"/>
    <w:rsid w:val="00E03ABA"/>
    <w:rsid w:val="00E12DD9"/>
    <w:rsid w:val="00E227ED"/>
    <w:rsid w:val="00E54070"/>
    <w:rsid w:val="00EA6DAA"/>
    <w:rsid w:val="00F2793B"/>
    <w:rsid w:val="00F45CF3"/>
    <w:rsid w:val="00F57823"/>
    <w:rsid w:val="00F61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4E6FE"/>
  <w15:chartTrackingRefBased/>
  <w15:docId w15:val="{97FAB52F-9639-4ADE-AC96-77E616AF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5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74525\Downloads\Briefing%20Note%20Template%202024%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D6EA8680580E9548B667880C81ECE879" ma:contentTypeVersion="10" ma:contentTypeDescription="MKC Branded Word Template Document" ma:contentTypeScope="" ma:versionID="9892b5c7f0486ca6cb3bc27d676f3ea1">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E6451-7147-4C0D-97B6-9AC9E4F45FA4}">
  <ds:schemaRefs>
    <ds:schemaRef ds:uri="http://schemas.microsoft.com/sharepoint/v3/contenttype/forms"/>
  </ds:schemaRefs>
</ds:datastoreItem>
</file>

<file path=customXml/itemProps2.xml><?xml version="1.0" encoding="utf-8"?>
<ds:datastoreItem xmlns:ds="http://schemas.openxmlformats.org/officeDocument/2006/customXml" ds:itemID="{2F71D108-C437-4D4A-9212-D8A388B6CF4E}">
  <ds:schemaRefs>
    <ds:schemaRef ds:uri="Microsoft.SharePoint.Taxonomy.ContentTypeSync"/>
  </ds:schemaRefs>
</ds:datastoreItem>
</file>

<file path=customXml/itemProps3.xml><?xml version="1.0" encoding="utf-8"?>
<ds:datastoreItem xmlns:ds="http://schemas.openxmlformats.org/officeDocument/2006/customXml" ds:itemID="{110B5D7E-0DBD-453F-B442-F3A349D53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60B687-D0A2-450C-B85A-8FCD61BDED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Briefing Note Template 2024 (6)</Template>
  <TotalTime>15</TotalTime>
  <Pages>5</Pages>
  <Words>2110</Words>
  <Characters>12350</Characters>
  <Application>Microsoft Office Word</Application>
  <DocSecurity>0</DocSecurity>
  <Lines>224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Carly</dc:creator>
  <cp:keywords/>
  <dc:description/>
  <cp:lastModifiedBy>Carly Murphy</cp:lastModifiedBy>
  <cp:revision>2</cp:revision>
  <cp:lastPrinted>2024-01-09T10:43:00Z</cp:lastPrinted>
  <dcterms:created xsi:type="dcterms:W3CDTF">2026-05-07T14:42:00Z</dcterms:created>
  <dcterms:modified xsi:type="dcterms:W3CDTF">2026-05-20T13:19:00Z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0x010100073DBBF460B4694388C550D7D3B1399900D6EA8680580E9548B667880C81ECE879</vt:lpwstr>
  </property>
</Properties>
</file>