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F4FD" w14:textId="77777777" w:rsidR="00E227ED" w:rsidRDefault="00E227ED" w:rsidP="00F45CF3">
      <w:pPr>
        <w:spacing w:after="0" w:line="240" w:lineRule="auto"/>
        <w:contextualSpacing/>
        <w:rPr>
          <w:sz w:val="24"/>
          <w:szCs w:val="24"/>
        </w:rPr>
      </w:pPr>
    </w:p>
    <w:p w14:paraId="62605311" w14:textId="77777777" w:rsidR="00E12DD9" w:rsidRDefault="00E12DD9" w:rsidP="00E12DD9">
      <w:pPr>
        <w:spacing w:after="0" w:line="240" w:lineRule="auto"/>
        <w:ind w:left="283"/>
        <w:contextualSpacing/>
        <w:rPr>
          <w:sz w:val="24"/>
          <w:szCs w:val="24"/>
        </w:rPr>
      </w:pPr>
    </w:p>
    <w:p w14:paraId="245FA61E" w14:textId="77777777" w:rsidR="007E4EA3" w:rsidRDefault="007E4EA3" w:rsidP="00E12DD9">
      <w:pPr>
        <w:spacing w:after="0" w:line="240" w:lineRule="auto"/>
        <w:ind w:left="283"/>
        <w:contextualSpacing/>
        <w:rPr>
          <w:sz w:val="24"/>
          <w:szCs w:val="24"/>
        </w:rPr>
      </w:pPr>
    </w:p>
    <w:p w14:paraId="047498CE" w14:textId="77777777" w:rsidR="004B30AF" w:rsidRPr="00D038CF" w:rsidRDefault="004B30AF" w:rsidP="00E12DD9">
      <w:pPr>
        <w:spacing w:after="0" w:line="240" w:lineRule="auto"/>
        <w:ind w:left="283"/>
        <w:contextualSpacing/>
        <w:rPr>
          <w:sz w:val="32"/>
          <w:szCs w:val="32"/>
        </w:rPr>
      </w:pPr>
    </w:p>
    <w:p w14:paraId="6D5F109A" w14:textId="6565A326" w:rsidR="0017540B" w:rsidRPr="00D750B8" w:rsidRDefault="00D750B8" w:rsidP="00D750B8">
      <w:pPr>
        <w:spacing w:after="0" w:line="240" w:lineRule="auto"/>
        <w:ind w:left="567"/>
        <w:jc w:val="center"/>
        <w:rPr>
          <w:rFonts w:ascii="Amasis MT Pro Black" w:hAnsi="Amasis MT Pro Black"/>
          <w:b/>
          <w:bCs/>
          <w:color w:val="008796"/>
          <w:sz w:val="48"/>
          <w:szCs w:val="48"/>
          <w:lang w:val="en-US"/>
        </w:rPr>
      </w:pPr>
      <w:r w:rsidRPr="00D750B8">
        <w:rPr>
          <w:rFonts w:ascii="Amasis MT Pro Black" w:hAnsi="Amasis MT Pro Black"/>
          <w:b/>
          <w:bCs/>
          <w:color w:val="008796"/>
          <w:sz w:val="48"/>
          <w:szCs w:val="48"/>
          <w:lang w:val="en-US"/>
        </w:rPr>
        <w:t>Promoting Reintegration and Reducing Exclusions (PRRE) – Thames Valley Roll-Out Plan</w:t>
      </w:r>
      <w:r w:rsidR="0017540B" w:rsidRPr="00D038CF">
        <w:rPr>
          <w:rFonts w:ascii="Amasis MT Pro Black" w:hAnsi="Amasis MT Pro Black"/>
          <w:b/>
          <w:bCs/>
          <w:color w:val="D46F63"/>
          <w:sz w:val="48"/>
          <w:szCs w:val="48"/>
        </w:rPr>
        <w:t>.</w:t>
      </w:r>
    </w:p>
    <w:p w14:paraId="730CDF93" w14:textId="77777777" w:rsidR="00AE5F48" w:rsidRPr="00AE5F48" w:rsidRDefault="00AE5F48" w:rsidP="00734EC0">
      <w:pPr>
        <w:spacing w:after="0" w:line="240" w:lineRule="auto"/>
        <w:ind w:left="567"/>
        <w:rPr>
          <w:rFonts w:ascii="Amasis MT Pro Black" w:hAnsi="Amasis MT Pro Black"/>
          <w:b/>
          <w:bCs/>
          <w:color w:val="D46F63"/>
          <w:sz w:val="32"/>
          <w:szCs w:val="32"/>
        </w:rPr>
      </w:pPr>
    </w:p>
    <w:p w14:paraId="56D1F16B" w14:textId="77777777" w:rsidR="00D750B8" w:rsidRPr="00D750B8" w:rsidRDefault="00D750B8" w:rsidP="00D750B8">
      <w:pPr>
        <w:jc w:val="center"/>
        <w:rPr>
          <w:sz w:val="24"/>
          <w:szCs w:val="24"/>
        </w:rPr>
      </w:pPr>
      <w:r w:rsidRPr="00D750B8">
        <w:rPr>
          <w:sz w:val="24"/>
          <w:szCs w:val="24"/>
        </w:rPr>
        <w:t>Milton Keynes Youth Justice Service – A phased early-intervention model for Education, Health and Youth Justice</w:t>
      </w:r>
    </w:p>
    <w:p w14:paraId="4F276718" w14:textId="77777777" w:rsidR="00D750B8" w:rsidRPr="00D750B8" w:rsidRDefault="00D750B8" w:rsidP="00D750B8">
      <w:pPr>
        <w:pStyle w:val="Heading1"/>
        <w:rPr>
          <w:rFonts w:asciiTheme="minorHAnsi" w:hAnsiTheme="minorHAnsi" w:cstheme="minorHAnsi"/>
          <w:b w:val="0"/>
          <w:bCs w:val="0"/>
          <w:color w:val="66BDCC"/>
          <w:sz w:val="32"/>
          <w:szCs w:val="32"/>
        </w:rPr>
      </w:pPr>
      <w:r w:rsidRPr="00D750B8">
        <w:rPr>
          <w:rFonts w:asciiTheme="minorHAnsi" w:hAnsiTheme="minorHAnsi" w:cstheme="minorHAnsi"/>
          <w:b w:val="0"/>
          <w:bCs w:val="0"/>
          <w:color w:val="66BDCC"/>
          <w:sz w:val="32"/>
          <w:szCs w:val="32"/>
        </w:rPr>
        <w:t>1. Purpose, Audience and Approach</w:t>
      </w:r>
    </w:p>
    <w:p w14:paraId="35AAD9AA" w14:textId="77777777" w:rsidR="00D750B8" w:rsidRDefault="00D750B8" w:rsidP="00D750B8">
      <w:r>
        <w:t>This document sets out the planned roll-out of the Milton Keynes Promoting Reintegration and Reducing Exclusions (PRRE) model across the nine Thames Valley local authorities. The plan is intended for senior service leads, education settings and health partners, particularly Speech and Language Therapy services.</w:t>
      </w:r>
      <w:r>
        <w:br/>
      </w:r>
      <w:r>
        <w:br/>
        <w:t>PRRE is a phased and supported approach. It is designed to work within existing local systems, piloted carefully and scaled sustainably, rather than imposed as a single fixed model.</w:t>
      </w:r>
    </w:p>
    <w:p w14:paraId="766D0F58" w14:textId="77777777" w:rsidR="00D750B8" w:rsidRPr="00D750B8" w:rsidRDefault="00D750B8" w:rsidP="00D750B8">
      <w:pPr>
        <w:pStyle w:val="Heading1"/>
        <w:rPr>
          <w:b w:val="0"/>
          <w:bCs w:val="0"/>
          <w:color w:val="66BDCC"/>
          <w:sz w:val="32"/>
          <w:szCs w:val="32"/>
        </w:rPr>
      </w:pPr>
      <w:r w:rsidRPr="00D750B8">
        <w:rPr>
          <w:b w:val="0"/>
          <w:bCs w:val="0"/>
          <w:color w:val="66BDCC"/>
          <w:sz w:val="32"/>
          <w:szCs w:val="32"/>
        </w:rPr>
        <w:t xml:space="preserve">2. </w:t>
      </w:r>
      <w:proofErr w:type="spellStart"/>
      <w:r w:rsidRPr="00D750B8">
        <w:rPr>
          <w:b w:val="0"/>
          <w:bCs w:val="0"/>
          <w:color w:val="66BDCC"/>
          <w:sz w:val="32"/>
          <w:szCs w:val="32"/>
        </w:rPr>
        <w:t>Programme</w:t>
      </w:r>
      <w:proofErr w:type="spellEnd"/>
      <w:r w:rsidRPr="00D750B8">
        <w:rPr>
          <w:b w:val="0"/>
          <w:bCs w:val="0"/>
          <w:color w:val="66BDCC"/>
          <w:sz w:val="32"/>
          <w:szCs w:val="32"/>
        </w:rPr>
        <w:t xml:space="preserve"> Overview and Timeline</w:t>
      </w:r>
    </w:p>
    <w:p w14:paraId="50F292D6" w14:textId="77777777" w:rsidR="00D750B8" w:rsidRDefault="00D750B8" w:rsidP="00D750B8">
      <w:r>
        <w:t>The Thames Valley PRRE roll-out will take place over an initial 12-month implementation period, followed by scale-up and embedding. The phased timeline below sets out what partners can expect at each stage and the level of involvement required from Youth Justice, education and health services.</w:t>
      </w:r>
    </w:p>
    <w:p w14:paraId="04F7FCEE" w14:textId="77777777" w:rsidR="00D750B8" w:rsidRPr="00D750B8" w:rsidRDefault="00D750B8" w:rsidP="00D750B8">
      <w:pPr>
        <w:pStyle w:val="Heading2"/>
        <w:rPr>
          <w:rFonts w:asciiTheme="minorHAnsi" w:hAnsiTheme="minorHAnsi" w:cstheme="minorHAnsi"/>
          <w:b w:val="0"/>
          <w:bCs w:val="0"/>
          <w:color w:val="66BDCC"/>
          <w:sz w:val="24"/>
          <w:szCs w:val="24"/>
        </w:rPr>
      </w:pPr>
      <w:r w:rsidRPr="00D750B8">
        <w:rPr>
          <w:rFonts w:asciiTheme="minorHAnsi" w:hAnsiTheme="minorHAnsi" w:cstheme="minorHAnsi"/>
          <w:b w:val="0"/>
          <w:bCs w:val="0"/>
          <w:color w:val="66BDCC"/>
          <w:sz w:val="24"/>
          <w:szCs w:val="24"/>
        </w:rPr>
        <w:t>Phase 1: Regional Engagement and Sponsorship (Months 1–2)</w:t>
      </w:r>
    </w:p>
    <w:p w14:paraId="38AEDA21" w14:textId="77777777" w:rsidR="00D750B8" w:rsidRDefault="00D750B8" w:rsidP="00D750B8">
      <w:pPr>
        <w:pStyle w:val="ListBullet"/>
        <w:tabs>
          <w:tab w:val="num" w:pos="360"/>
        </w:tabs>
        <w:ind w:left="360" w:hanging="360"/>
      </w:pPr>
      <w:r>
        <w:t>Purpose: To secure senior leadership understanding and commitment across Youth Justice, Education and Health.</w:t>
      </w:r>
    </w:p>
    <w:p w14:paraId="26F2E926" w14:textId="77777777" w:rsidR="00D750B8" w:rsidRDefault="00D750B8" w:rsidP="00D750B8">
      <w:pPr>
        <w:pStyle w:val="ListBullet"/>
        <w:tabs>
          <w:tab w:val="num" w:pos="360"/>
        </w:tabs>
        <w:ind w:left="360" w:hanging="360"/>
      </w:pPr>
      <w:r>
        <w:t>Key activity: Regional briefing sessions; presentation of evidence base and Milton Keynes learning; identification of senior sponsors and leads.</w:t>
      </w:r>
    </w:p>
    <w:p w14:paraId="4FE72361" w14:textId="77777777" w:rsidR="00D750B8" w:rsidRDefault="00D750B8" w:rsidP="00D750B8">
      <w:pPr>
        <w:pStyle w:val="ListBullet"/>
        <w:tabs>
          <w:tab w:val="num" w:pos="360"/>
        </w:tabs>
        <w:ind w:left="360" w:hanging="360"/>
      </w:pPr>
      <w:r>
        <w:t>Outputs: Agreement to participate in a local pilot; named leads from Education, Health and Youth Justice.</w:t>
      </w:r>
    </w:p>
    <w:p w14:paraId="71453280" w14:textId="77777777" w:rsidR="00D750B8" w:rsidRPr="00D750B8" w:rsidRDefault="00D750B8" w:rsidP="00D750B8">
      <w:pPr>
        <w:pStyle w:val="Heading2"/>
        <w:rPr>
          <w:b w:val="0"/>
          <w:bCs w:val="0"/>
          <w:color w:val="66BDCC"/>
          <w:sz w:val="24"/>
          <w:szCs w:val="24"/>
        </w:rPr>
      </w:pPr>
      <w:r w:rsidRPr="00D750B8">
        <w:rPr>
          <w:b w:val="0"/>
          <w:bCs w:val="0"/>
          <w:color w:val="66BDCC"/>
          <w:sz w:val="24"/>
          <w:szCs w:val="24"/>
        </w:rPr>
        <w:t>Phase 2: Local Readiness and Set-Up (Months 2–4)</w:t>
      </w:r>
    </w:p>
    <w:p w14:paraId="06AF58C8" w14:textId="77777777" w:rsidR="00D750B8" w:rsidRDefault="00D750B8" w:rsidP="00D750B8">
      <w:pPr>
        <w:pStyle w:val="ListBullet"/>
        <w:tabs>
          <w:tab w:val="num" w:pos="360"/>
        </w:tabs>
        <w:ind w:left="360" w:hanging="360"/>
      </w:pPr>
      <w:r>
        <w:t xml:space="preserve">Purpose: To ensure local areas are operationally, clinically and </w:t>
      </w:r>
      <w:proofErr w:type="gramStart"/>
      <w:r>
        <w:t>governance-ready</w:t>
      </w:r>
      <w:proofErr w:type="gramEnd"/>
      <w:r>
        <w:t>.</w:t>
      </w:r>
    </w:p>
    <w:p w14:paraId="0FEDA2F0" w14:textId="77777777" w:rsidR="00D750B8" w:rsidRDefault="00D750B8" w:rsidP="00D750B8">
      <w:pPr>
        <w:pStyle w:val="ListBullet"/>
        <w:tabs>
          <w:tab w:val="num" w:pos="360"/>
        </w:tabs>
        <w:ind w:left="360" w:hanging="360"/>
      </w:pPr>
      <w:r>
        <w:t>Key activity: Mapping of schools/AP/FE; confirmation of SLT capacity; agreement of referral thresholds and information governance.</w:t>
      </w:r>
    </w:p>
    <w:p w14:paraId="2A908018" w14:textId="77777777" w:rsidR="00D750B8" w:rsidRDefault="00D750B8" w:rsidP="00D750B8">
      <w:pPr>
        <w:pStyle w:val="ListBullet"/>
        <w:tabs>
          <w:tab w:val="num" w:pos="360"/>
        </w:tabs>
        <w:ind w:left="360" w:hanging="360"/>
      </w:pPr>
      <w:r>
        <w:t>Outputs: Local SOP; information-sharing arrangements in place; pilot schools agreed.</w:t>
      </w:r>
    </w:p>
    <w:p w14:paraId="048EE753" w14:textId="77777777" w:rsidR="00D750B8" w:rsidRPr="00D750B8" w:rsidRDefault="00D750B8" w:rsidP="00D750B8">
      <w:pPr>
        <w:pStyle w:val="Heading2"/>
        <w:rPr>
          <w:b w:val="0"/>
          <w:bCs w:val="0"/>
          <w:color w:val="66BDCC"/>
          <w:sz w:val="24"/>
          <w:szCs w:val="24"/>
        </w:rPr>
      </w:pPr>
      <w:r w:rsidRPr="00D750B8">
        <w:rPr>
          <w:b w:val="0"/>
          <w:bCs w:val="0"/>
          <w:color w:val="66BDCC"/>
          <w:sz w:val="24"/>
          <w:szCs w:val="24"/>
        </w:rPr>
        <w:t>Phase 3: Pilot Delivery (Months 4–9)</w:t>
      </w:r>
    </w:p>
    <w:p w14:paraId="794CFD04" w14:textId="77777777" w:rsidR="00D750B8" w:rsidRDefault="00D750B8" w:rsidP="00D750B8">
      <w:pPr>
        <w:pStyle w:val="ListBullet"/>
        <w:tabs>
          <w:tab w:val="num" w:pos="360"/>
        </w:tabs>
        <w:ind w:left="360" w:hanging="360"/>
      </w:pPr>
      <w:r>
        <w:t>Purpose: To test the PRRE model locally while maintaining quality.</w:t>
      </w:r>
    </w:p>
    <w:p w14:paraId="1993868E" w14:textId="77777777" w:rsidR="00D750B8" w:rsidRDefault="00D750B8" w:rsidP="00D750B8">
      <w:pPr>
        <w:pStyle w:val="ListBullet"/>
        <w:tabs>
          <w:tab w:val="num" w:pos="360"/>
        </w:tabs>
        <w:ind w:left="360" w:hanging="360"/>
      </w:pPr>
      <w:r>
        <w:t>Key activity: Launch of referrals; delivery of SLCN assessments and reports; training and consultation for schools.</w:t>
      </w:r>
    </w:p>
    <w:p w14:paraId="4B9DB20D" w14:textId="77777777" w:rsidR="00D750B8" w:rsidRDefault="00D750B8" w:rsidP="00D750B8">
      <w:pPr>
        <w:pStyle w:val="ListBullet"/>
        <w:tabs>
          <w:tab w:val="num" w:pos="360"/>
        </w:tabs>
        <w:ind w:left="360" w:hanging="360"/>
      </w:pPr>
      <w:r>
        <w:t>Outputs: Children assessed and supported; improved engagement and inclusion.</w:t>
      </w:r>
    </w:p>
    <w:p w14:paraId="7BC48CF6" w14:textId="77777777" w:rsidR="00D750B8" w:rsidRPr="00D750B8" w:rsidRDefault="00D750B8" w:rsidP="00D750B8">
      <w:pPr>
        <w:pStyle w:val="Heading2"/>
        <w:rPr>
          <w:b w:val="0"/>
          <w:bCs w:val="0"/>
          <w:color w:val="66BDCC"/>
          <w:sz w:val="24"/>
          <w:szCs w:val="24"/>
        </w:rPr>
      </w:pPr>
      <w:r w:rsidRPr="00D750B8">
        <w:rPr>
          <w:b w:val="0"/>
          <w:bCs w:val="0"/>
          <w:color w:val="66BDCC"/>
          <w:sz w:val="24"/>
          <w:szCs w:val="24"/>
        </w:rPr>
        <w:t>Phase 4: Evaluation and Learning (Months 9–12)</w:t>
      </w:r>
    </w:p>
    <w:p w14:paraId="3E60BD51" w14:textId="77777777" w:rsidR="00D750B8" w:rsidRDefault="00D750B8" w:rsidP="00D750B8">
      <w:pPr>
        <w:pStyle w:val="ListBullet"/>
        <w:tabs>
          <w:tab w:val="num" w:pos="360"/>
        </w:tabs>
        <w:ind w:left="360" w:hanging="360"/>
      </w:pPr>
      <w:r>
        <w:t>Purpose: To assess impact and readiness for expansion.</w:t>
      </w:r>
    </w:p>
    <w:p w14:paraId="204BA152" w14:textId="77777777" w:rsidR="00D750B8" w:rsidRDefault="00D750B8" w:rsidP="00D750B8">
      <w:pPr>
        <w:pStyle w:val="ListBullet"/>
        <w:tabs>
          <w:tab w:val="num" w:pos="360"/>
        </w:tabs>
        <w:ind w:left="360" w:hanging="360"/>
      </w:pPr>
      <w:r>
        <w:t>Key activity: Review of activity; feedback from schools and practitioners; shared learning.</w:t>
      </w:r>
    </w:p>
    <w:p w14:paraId="107898EA" w14:textId="77777777" w:rsidR="00D750B8" w:rsidRDefault="00D750B8" w:rsidP="00D750B8">
      <w:pPr>
        <w:pStyle w:val="ListBullet"/>
        <w:tabs>
          <w:tab w:val="num" w:pos="360"/>
        </w:tabs>
        <w:ind w:left="360" w:hanging="360"/>
      </w:pPr>
      <w:r>
        <w:t>Outputs: Local evaluation summaries; agreed refinements.</w:t>
      </w:r>
    </w:p>
    <w:p w14:paraId="7D8EFF7A" w14:textId="77777777" w:rsidR="00D750B8" w:rsidRPr="00D750B8" w:rsidRDefault="00D750B8" w:rsidP="00D750B8">
      <w:pPr>
        <w:pStyle w:val="Heading2"/>
        <w:rPr>
          <w:b w:val="0"/>
          <w:bCs w:val="0"/>
          <w:color w:val="66BDCC"/>
          <w:sz w:val="24"/>
          <w:szCs w:val="24"/>
        </w:rPr>
      </w:pPr>
      <w:r w:rsidRPr="00D750B8">
        <w:rPr>
          <w:b w:val="0"/>
          <w:bCs w:val="0"/>
          <w:color w:val="66BDCC"/>
          <w:sz w:val="24"/>
          <w:szCs w:val="24"/>
        </w:rPr>
        <w:t>Phase 5: Scale-Up and Sustainability (Year 2 onwards)</w:t>
      </w:r>
    </w:p>
    <w:p w14:paraId="71EBED8B" w14:textId="77777777" w:rsidR="00D750B8" w:rsidRDefault="00D750B8" w:rsidP="00D750B8">
      <w:pPr>
        <w:pStyle w:val="ListBullet"/>
        <w:tabs>
          <w:tab w:val="num" w:pos="360"/>
        </w:tabs>
        <w:ind w:left="360" w:hanging="360"/>
      </w:pPr>
      <w:r>
        <w:t>Purpose: To embed PRRE as business-as-usual early intervention.</w:t>
      </w:r>
    </w:p>
    <w:p w14:paraId="0304E203" w14:textId="77777777" w:rsidR="00D750B8" w:rsidRDefault="00D750B8" w:rsidP="00D750B8">
      <w:pPr>
        <w:pStyle w:val="ListBullet"/>
        <w:tabs>
          <w:tab w:val="num" w:pos="360"/>
        </w:tabs>
        <w:ind w:left="360" w:hanging="360"/>
      </w:pPr>
      <w:r>
        <w:t>Key activity: Expansion to schools; commissioning and workforce support; community of practice.</w:t>
      </w:r>
    </w:p>
    <w:p w14:paraId="6D5F51F2" w14:textId="77777777" w:rsidR="00D750B8" w:rsidRDefault="00D750B8" w:rsidP="00D750B8">
      <w:pPr>
        <w:pStyle w:val="ListBullet"/>
        <w:tabs>
          <w:tab w:val="num" w:pos="360"/>
        </w:tabs>
        <w:ind w:left="360" w:hanging="360"/>
      </w:pPr>
      <w:r>
        <w:t>Outputs: Sustainable delivery model; consistent practice across Thames Valley.</w:t>
      </w:r>
    </w:p>
    <w:p w14:paraId="7CD7AE58" w14:textId="77777777" w:rsidR="00D750B8" w:rsidRPr="00D750B8" w:rsidRDefault="00D750B8" w:rsidP="00D750B8">
      <w:pPr>
        <w:pStyle w:val="Heading1"/>
        <w:rPr>
          <w:b w:val="0"/>
          <w:bCs w:val="0"/>
          <w:color w:val="66BDCC"/>
          <w:sz w:val="32"/>
          <w:szCs w:val="32"/>
        </w:rPr>
      </w:pPr>
      <w:r w:rsidRPr="00D750B8">
        <w:rPr>
          <w:b w:val="0"/>
          <w:bCs w:val="0"/>
          <w:color w:val="66BDCC"/>
          <w:sz w:val="32"/>
          <w:szCs w:val="32"/>
        </w:rPr>
        <w:t>3. Governance and Accountability</w:t>
      </w:r>
    </w:p>
    <w:p w14:paraId="7948596E" w14:textId="77777777" w:rsidR="00D750B8" w:rsidRDefault="00D750B8" w:rsidP="00D750B8">
      <w:r>
        <w:t>Strategic oversight will be provided through existing Thames Valley Youth Justice partnership arrangements. Each local authority retains responsibility for safeguarding, clinical governance and operational delivery, with Milton Keynes Youth Justice Service providing implementation support and shared learning.</w:t>
      </w:r>
    </w:p>
    <w:sectPr w:rsidR="00D750B8" w:rsidSect="007A7BE0">
      <w:headerReference w:type="default" r:id="rId10"/>
      <w:footerReference w:type="default" r:id="rId11"/>
      <w:headerReference w:type="first" r:id="rId12"/>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6FCB" w14:textId="77777777" w:rsidR="00D750B8" w:rsidRDefault="00D750B8" w:rsidP="00F45CF3">
      <w:pPr>
        <w:spacing w:after="0" w:line="240" w:lineRule="auto"/>
      </w:pPr>
      <w:r>
        <w:separator/>
      </w:r>
    </w:p>
  </w:endnote>
  <w:endnote w:type="continuationSeparator" w:id="0">
    <w:p w14:paraId="7767789D" w14:textId="77777777" w:rsidR="00D750B8" w:rsidRDefault="00D750B8" w:rsidP="00F45CF3">
      <w:pPr>
        <w:spacing w:after="0" w:line="240" w:lineRule="auto"/>
      </w:pPr>
      <w:r>
        <w:continuationSeparator/>
      </w:r>
    </w:p>
  </w:endnote>
  <w:endnote w:type="continuationNotice" w:id="1">
    <w:p w14:paraId="0DB34A80" w14:textId="77777777" w:rsidR="00D750B8" w:rsidRDefault="00D75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F892"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F83B" w14:textId="77777777" w:rsidR="00D750B8" w:rsidRDefault="00D750B8" w:rsidP="00F45CF3">
      <w:pPr>
        <w:spacing w:after="0" w:line="240" w:lineRule="auto"/>
      </w:pPr>
      <w:r>
        <w:separator/>
      </w:r>
    </w:p>
  </w:footnote>
  <w:footnote w:type="continuationSeparator" w:id="0">
    <w:p w14:paraId="5E06E561" w14:textId="77777777" w:rsidR="00D750B8" w:rsidRDefault="00D750B8" w:rsidP="00F45CF3">
      <w:pPr>
        <w:spacing w:after="0" w:line="240" w:lineRule="auto"/>
      </w:pPr>
      <w:r>
        <w:continuationSeparator/>
      </w:r>
    </w:p>
  </w:footnote>
  <w:footnote w:type="continuationNotice" w:id="1">
    <w:p w14:paraId="4A2CB511" w14:textId="77777777" w:rsidR="00D750B8" w:rsidRDefault="00D75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4E1C"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A4B2F"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7305"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1612B"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92979C"/>
    <w:lvl w:ilvl="0">
      <w:start w:val="1"/>
      <w:numFmt w:val="bullet"/>
      <w:pStyle w:val="ListBullet"/>
      <w:lvlText w:val=""/>
      <w:lvlJc w:val="left"/>
      <w:pPr>
        <w:tabs>
          <w:tab w:val="num" w:pos="360"/>
        </w:tabs>
        <w:ind w:left="360" w:hanging="360"/>
      </w:pPr>
      <w:rPr>
        <w:rFonts w:ascii="Symbol" w:hAnsi="Symbol" w:hint="default"/>
      </w:rPr>
    </w:lvl>
  </w:abstractNum>
  <w:num w:numId="1" w16cid:durableId="1262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B8"/>
    <w:rsid w:val="00045D9C"/>
    <w:rsid w:val="00064DC1"/>
    <w:rsid w:val="000C6E1C"/>
    <w:rsid w:val="000E3B9C"/>
    <w:rsid w:val="0017540B"/>
    <w:rsid w:val="001E2824"/>
    <w:rsid w:val="00211B24"/>
    <w:rsid w:val="00273564"/>
    <w:rsid w:val="00391F01"/>
    <w:rsid w:val="00420C3A"/>
    <w:rsid w:val="004A364B"/>
    <w:rsid w:val="004B30AF"/>
    <w:rsid w:val="005C3BD0"/>
    <w:rsid w:val="006043E2"/>
    <w:rsid w:val="00637D75"/>
    <w:rsid w:val="0064246E"/>
    <w:rsid w:val="00643E56"/>
    <w:rsid w:val="00644957"/>
    <w:rsid w:val="006564BE"/>
    <w:rsid w:val="006C084B"/>
    <w:rsid w:val="006C57D6"/>
    <w:rsid w:val="006D5567"/>
    <w:rsid w:val="006D7CC1"/>
    <w:rsid w:val="006F1198"/>
    <w:rsid w:val="006F276C"/>
    <w:rsid w:val="00734EC0"/>
    <w:rsid w:val="007A7BE0"/>
    <w:rsid w:val="007E4EA3"/>
    <w:rsid w:val="00806C53"/>
    <w:rsid w:val="00830F68"/>
    <w:rsid w:val="008326A4"/>
    <w:rsid w:val="008416E5"/>
    <w:rsid w:val="00882D65"/>
    <w:rsid w:val="008E36FF"/>
    <w:rsid w:val="008E461A"/>
    <w:rsid w:val="00981D37"/>
    <w:rsid w:val="00992B8E"/>
    <w:rsid w:val="00A45DA9"/>
    <w:rsid w:val="00AD1F73"/>
    <w:rsid w:val="00AE5F48"/>
    <w:rsid w:val="00AF1785"/>
    <w:rsid w:val="00B03B56"/>
    <w:rsid w:val="00B350BA"/>
    <w:rsid w:val="00B466BE"/>
    <w:rsid w:val="00B73D5B"/>
    <w:rsid w:val="00BE5187"/>
    <w:rsid w:val="00C97CF8"/>
    <w:rsid w:val="00D038CF"/>
    <w:rsid w:val="00D610CF"/>
    <w:rsid w:val="00D750B8"/>
    <w:rsid w:val="00E03ABA"/>
    <w:rsid w:val="00E12DD9"/>
    <w:rsid w:val="00E227ED"/>
    <w:rsid w:val="00E54070"/>
    <w:rsid w:val="00EA6DAA"/>
    <w:rsid w:val="00F2793B"/>
    <w:rsid w:val="00F45CF3"/>
    <w:rsid w:val="00F57823"/>
    <w:rsid w:val="00F6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CE11"/>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750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750B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character" w:customStyle="1" w:styleId="Heading1Char">
    <w:name w:val="Heading 1 Char"/>
    <w:basedOn w:val="DefaultParagraphFont"/>
    <w:link w:val="Heading1"/>
    <w:uiPriority w:val="9"/>
    <w:rsid w:val="00D750B8"/>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rsid w:val="00D750B8"/>
    <w:rPr>
      <w:rFonts w:asciiTheme="majorHAnsi" w:eastAsiaTheme="majorEastAsia" w:hAnsiTheme="majorHAnsi" w:cstheme="majorBidi"/>
      <w:b/>
      <w:bCs/>
      <w:color w:val="4472C4" w:themeColor="accent1"/>
      <w:kern w:val="0"/>
      <w:sz w:val="26"/>
      <w:szCs w:val="26"/>
      <w:lang w:val="en-US"/>
      <w14:ligatures w14:val="none"/>
    </w:rPr>
  </w:style>
  <w:style w:type="paragraph" w:styleId="Title">
    <w:name w:val="Title"/>
    <w:basedOn w:val="Normal"/>
    <w:next w:val="Normal"/>
    <w:link w:val="TitleChar"/>
    <w:uiPriority w:val="10"/>
    <w:qFormat/>
    <w:rsid w:val="00D750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D750B8"/>
    <w:rPr>
      <w:rFonts w:asciiTheme="majorHAnsi" w:eastAsiaTheme="majorEastAsia" w:hAnsiTheme="majorHAnsi" w:cstheme="majorBidi"/>
      <w:color w:val="323E4F" w:themeColor="text2" w:themeShade="BF"/>
      <w:spacing w:val="5"/>
      <w:kern w:val="28"/>
      <w:sz w:val="52"/>
      <w:szCs w:val="52"/>
      <w:lang w:val="en-US"/>
      <w14:ligatures w14:val="none"/>
    </w:rPr>
  </w:style>
  <w:style w:type="paragraph" w:styleId="ListBullet">
    <w:name w:val="List Bullet"/>
    <w:basedOn w:val="Normal"/>
    <w:uiPriority w:val="99"/>
    <w:unhideWhenUsed/>
    <w:rsid w:val="00D750B8"/>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4060B687-D0A2-450C-B85A-8FCD61BDED6E}">
  <ds:schemaRefs>
    <ds:schemaRef ds:uri="http://schemas.microsoft.com/office/2006/metadata/properties"/>
    <ds:schemaRef ds:uri="http://schemas.microsoft.com/office/infopath/2007/PartnerControls"/>
    <ds:schemaRef ds:uri="b8652632-f1b5-4c71-ba22-4efebc9d6754"/>
    <ds:schemaRef ds:uri="eb7d08dc-c761-4aaf-a91f-bbb55a531384"/>
  </ds:schemaRefs>
</ds:datastoreItem>
</file>

<file path=customXml/itemProps3.xml><?xml version="1.0" encoding="utf-8"?>
<ds:datastoreItem xmlns:ds="http://schemas.openxmlformats.org/officeDocument/2006/customXml" ds:itemID="{D0877BA2-381E-4C31-A056-9FB06B8639C9}"/>
</file>

<file path=customXml/itemProps4.xml><?xml version="1.0" encoding="utf-8"?>
<ds:datastoreItem xmlns:ds="http://schemas.openxmlformats.org/officeDocument/2006/customXml" ds:itemID="{2B55E794-AE4E-4BD9-90F8-DEFF8C6AED63}"/>
</file>

<file path=docProps/app.xml><?xml version="1.0" encoding="utf-8"?>
<Properties xmlns="http://schemas.openxmlformats.org/officeDocument/2006/extended-properties" xmlns:vt="http://schemas.openxmlformats.org/officeDocument/2006/docPropsVTypes">
  <Template>Briefing Note Template 2024 (7)</Template>
  <TotalTime>4</TotalTime>
  <Pages>2</Pages>
  <Words>413</Words>
  <Characters>2602</Characters>
  <Application>Microsoft Office Word</Application>
  <DocSecurity>0</DocSecurity>
  <Lines>66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1</cp:revision>
  <cp:lastPrinted>2024-01-09T10:43:00Z</cp:lastPrinted>
  <dcterms:created xsi:type="dcterms:W3CDTF">2026-05-07T15:11:00Z</dcterms:created>
  <dcterms:modified xsi:type="dcterms:W3CDTF">2026-05-07T15:15:00Z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ies>
</file>